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5F2872">
      <w:pPr>
        <w:jc w:val="center"/>
        <w:rPr>
          <w:b/>
          <w:bCs/>
          <w:sz w:val="28"/>
          <w:szCs w:val="28"/>
        </w:rPr>
      </w:pPr>
      <w:bookmarkStart w:id="3" w:name="_GoBack"/>
      <w:bookmarkEnd w:id="3"/>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7C11B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7B5528D0">
            <w:pPr>
              <w:spacing w:after="0" w:line="240" w:lineRule="auto"/>
              <w:rPr>
                <w:rFonts w:hint="default"/>
                <w:sz w:val="24"/>
                <w:szCs w:val="24"/>
                <w:lang w:val="fr-FR"/>
              </w:rPr>
            </w:pPr>
            <w:r>
              <w:rPr>
                <w:sz w:val="24"/>
                <w:szCs w:val="24"/>
              </w:rPr>
              <w:t xml:space="preserve">Nom </w:t>
            </w:r>
            <w:r>
              <w:rPr>
                <w:rFonts w:hint="default"/>
                <w:sz w:val="24"/>
                <w:szCs w:val="24"/>
                <w:lang w:val="fr-FR"/>
              </w:rPr>
              <w:t>Etablissement</w:t>
            </w:r>
            <w:r>
              <w:rPr>
                <w:sz w:val="24"/>
                <w:szCs w:val="24"/>
              </w:rPr>
              <w:t xml:space="preserve">: </w:t>
            </w:r>
            <w:r>
              <w:rPr>
                <w:b/>
                <w:bCs/>
                <w:sz w:val="24"/>
                <w:szCs w:val="24"/>
                <w:lang w:val="fr-FR"/>
              </w:rPr>
              <w:t>UNIVERSITÉ</w:t>
            </w:r>
            <w:r>
              <w:rPr>
                <w:rFonts w:hint="default"/>
                <w:b/>
                <w:bCs/>
                <w:sz w:val="24"/>
                <w:szCs w:val="24"/>
                <w:lang w:val="fr-FR"/>
              </w:rPr>
              <w:t xml:space="preserve"> FERAHAT ABBAS SÉTIF 1</w:t>
            </w:r>
          </w:p>
          <w:p w14:paraId="6D5A9EDB">
            <w:pPr>
              <w:spacing w:after="0" w:line="240" w:lineRule="auto"/>
              <w:rPr>
                <w:sz w:val="28"/>
                <w:szCs w:val="28"/>
              </w:rPr>
            </w:pPr>
            <w:r>
              <w:rPr>
                <w:sz w:val="24"/>
                <w:szCs w:val="24"/>
              </w:rPr>
              <w:t xml:space="preserve">Département : </w:t>
            </w:r>
            <w:bookmarkStart w:id="0" w:name="Texte2"/>
            <w:r>
              <w:rPr>
                <w:rFonts w:asciiTheme="minorHAnsi" w:hAnsiTheme="minorHAnsi" w:eastAsiaTheme="minorHAnsi" w:cstheme="minorBidi"/>
                <w:b/>
                <w:bCs/>
                <w:sz w:val="24"/>
                <w:szCs w:val="24"/>
                <w:lang w:val="fr-FR" w:eastAsia="en-US" w:bidi="ar-SA"/>
              </w:rPr>
              <w:fldChar w:fldCharType="begin">
                <w:ffData>
                  <w:name w:val="Texte2"/>
                  <w:enabled/>
                  <w:calcOnExit w:val="0"/>
                  <w:textInput>
                    <w:default w:val="Microbiologie"/>
                    <w:maxLength w:val="32"/>
                  </w:textInput>
                </w:ffData>
              </w:fldChar>
            </w:r>
            <w:r>
              <w:rPr>
                <w:rFonts w:asciiTheme="minorHAnsi" w:hAnsiTheme="minorHAnsi" w:eastAsiaTheme="minorHAnsi" w:cstheme="minorBidi"/>
                <w:b/>
                <w:bCs/>
                <w:sz w:val="24"/>
                <w:szCs w:val="24"/>
                <w:lang w:val="fr-FR" w:eastAsia="en-US" w:bidi="ar-SA"/>
              </w:rPr>
              <w:instrText xml:space="preserve">FORMTEXT</w:instrText>
            </w:r>
            <w:r>
              <w:rPr>
                <w:rFonts w:asciiTheme="minorHAnsi" w:hAnsiTheme="minorHAnsi" w:eastAsiaTheme="minorHAnsi" w:cstheme="minorBidi"/>
                <w:b/>
                <w:bCs/>
                <w:sz w:val="24"/>
                <w:szCs w:val="24"/>
                <w:lang w:val="fr-FR" w:eastAsia="en-US" w:bidi="ar-SA"/>
              </w:rPr>
              <w:fldChar w:fldCharType="separate"/>
            </w:r>
            <w:r>
              <w:rPr>
                <w:rFonts w:asciiTheme="minorHAnsi" w:hAnsiTheme="minorHAnsi" w:eastAsiaTheme="minorHAnsi" w:cstheme="minorBidi"/>
                <w:b/>
                <w:bCs/>
                <w:sz w:val="24"/>
                <w:szCs w:val="24"/>
                <w:lang w:val="fr-FR" w:eastAsia="en-US" w:bidi="ar-SA"/>
              </w:rPr>
              <w:t>Microbiologie</w:t>
            </w:r>
            <w:r>
              <w:rPr>
                <w:rFonts w:asciiTheme="minorHAnsi" w:hAnsiTheme="minorHAnsi" w:eastAsiaTheme="minorHAnsi" w:cstheme="minorBidi"/>
                <w:b/>
                <w:bCs/>
                <w:sz w:val="24"/>
                <w:szCs w:val="24"/>
                <w:lang w:val="fr-FR" w:eastAsia="en-US" w:bidi="ar-SA"/>
              </w:rPr>
              <w:fldChar w:fldCharType="end"/>
            </w:r>
            <w:bookmarkEnd w:id="0"/>
          </w:p>
        </w:tc>
      </w:tr>
    </w:tbl>
    <w:p w14:paraId="11798574"/>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14:paraId="57735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shd w:val="clear" w:color="auto" w:fill="F1F1F1" w:themeFill="background1" w:themeFillShade="F2"/>
          </w:tcPr>
          <w:p w14:paraId="1E92B4BA">
            <w:pPr>
              <w:spacing w:after="0" w:line="240" w:lineRule="auto"/>
              <w:jc w:val="center"/>
              <w:rPr>
                <w:b/>
                <w:bCs/>
                <w:sz w:val="28"/>
                <w:szCs w:val="28"/>
              </w:rPr>
            </w:pPr>
            <w:r>
              <w:rPr>
                <w:b/>
                <w:bCs/>
                <w:sz w:val="28"/>
                <w:szCs w:val="28"/>
              </w:rPr>
              <w:t>SYLLABUS DE LA MATIERE</w:t>
            </w:r>
          </w:p>
          <w:p w14:paraId="116D377E">
            <w:pPr>
              <w:spacing w:after="0" w:line="240" w:lineRule="auto"/>
              <w:jc w:val="center"/>
              <w:rPr>
                <w:b/>
                <w:bCs/>
              </w:rPr>
            </w:pPr>
            <w:r>
              <w:rPr>
                <w:b/>
                <w:bCs/>
              </w:rPr>
              <w:t>(à publier dans le site Web de l’institution)</w:t>
            </w:r>
          </w:p>
        </w:tc>
      </w:tr>
      <w:tr w14:paraId="708CD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14:paraId="381041FA">
            <w:pPr>
              <w:spacing w:after="0" w:line="240" w:lineRule="auto"/>
              <w:jc w:val="center"/>
              <w:rPr>
                <w:sz w:val="36"/>
                <w:szCs w:val="36"/>
              </w:rPr>
            </w:pPr>
            <w:r>
              <w:rPr>
                <w:sz w:val="36"/>
                <w:szCs w:val="36"/>
              </w:rPr>
              <w:fldChar w:fldCharType="begin">
                <w:ffData>
                  <w:name w:val="Texte3"/>
                  <w:enabled/>
                  <w:calcOnExit w:val="0"/>
                  <w:textInput>
                    <w:default w:val="Intitulé de la matière"/>
                    <w:maxLength w:val="32"/>
                    <w:format w:val="第一个字母大写"/>
                  </w:textInput>
                </w:ffData>
              </w:fldChar>
            </w:r>
            <w:bookmarkStart w:id="1" w:name="Texte3"/>
            <w:r>
              <w:rPr>
                <w:sz w:val="36"/>
                <w:szCs w:val="36"/>
              </w:rPr>
              <w:instrText xml:space="preserve"> FORMTEXT </w:instrText>
            </w:r>
            <w:r>
              <w:rPr>
                <w:sz w:val="36"/>
                <w:szCs w:val="36"/>
              </w:rPr>
              <w:fldChar w:fldCharType="separate"/>
            </w:r>
            <w:r>
              <w:rPr>
                <w:sz w:val="36"/>
                <w:szCs w:val="36"/>
              </w:rPr>
              <w:t>Intitulé de la matière</w:t>
            </w:r>
            <w:r>
              <w:rPr>
                <w:sz w:val="36"/>
                <w:szCs w:val="36"/>
              </w:rPr>
              <w:fldChar w:fldCharType="end"/>
            </w:r>
            <w:bookmarkEnd w:id="1"/>
          </w:p>
          <w:p w14:paraId="682C39D8">
            <w:pPr>
              <w:spacing w:after="0" w:line="240" w:lineRule="auto"/>
              <w:jc w:val="center"/>
              <w:rPr>
                <w:rFonts w:hint="default"/>
                <w:sz w:val="36"/>
                <w:szCs w:val="36"/>
                <w:lang w:val="fr-FR"/>
              </w:rPr>
            </w:pPr>
            <w:r>
              <w:rPr>
                <w:rFonts w:hint="default"/>
                <w:sz w:val="36"/>
                <w:szCs w:val="36"/>
                <w:lang w:val="fr-FR"/>
              </w:rPr>
              <w:t>Virologie fondamentale et moléculaire</w:t>
            </w:r>
          </w:p>
        </w:tc>
      </w:tr>
    </w:tbl>
    <w:p w14:paraId="76D2E0D8"/>
    <w:p w14:paraId="2B3FF7A7">
      <w:pPr>
        <w:rPr>
          <w:lang w:val="en-US"/>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4"/>
        <w:gridCol w:w="3411"/>
        <w:gridCol w:w="1075"/>
        <w:gridCol w:w="1212"/>
        <w:gridCol w:w="888"/>
        <w:gridCol w:w="1236"/>
      </w:tblGrid>
      <w:tr w14:paraId="2029C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4875" w:type="dxa"/>
            <w:gridSpan w:val="2"/>
            <w:vMerge w:val="restart"/>
            <w:shd w:val="clear" w:color="auto" w:fill="F1F1F1" w:themeFill="background1" w:themeFillShade="F2"/>
            <w:vAlign w:val="center"/>
          </w:tcPr>
          <w:p w14:paraId="61E57519">
            <w:pPr>
              <w:spacing w:after="0" w:line="240" w:lineRule="auto"/>
              <w:jc w:val="center"/>
              <w:rPr>
                <w:b w:val="0"/>
                <w:bCs w:val="0"/>
                <w:lang w:val="en-US"/>
              </w:rPr>
            </w:pPr>
            <w:r>
              <w:rPr>
                <w:sz w:val="32"/>
                <w:szCs w:val="32"/>
              </w:rPr>
              <w:t>ENSEIGNANT DU COURS MAGISTRAL</w:t>
            </w:r>
          </w:p>
        </w:tc>
        <w:tc>
          <w:tcPr>
            <w:tcW w:w="4411" w:type="dxa"/>
            <w:gridSpan w:val="4"/>
            <w:shd w:val="clear" w:color="auto" w:fill="F1F1F1" w:themeFill="background1" w:themeFillShade="F2"/>
            <w:vAlign w:val="center"/>
          </w:tcPr>
          <w:p w14:paraId="2C159813">
            <w:pPr>
              <w:spacing w:after="0" w:line="240" w:lineRule="auto"/>
              <w:jc w:val="center"/>
              <w:rPr>
                <w:b/>
                <w:bCs/>
              </w:rPr>
            </w:pPr>
            <w:r>
              <w:rPr>
                <w:b/>
                <w:bCs/>
              </w:rPr>
              <w:fldChar w:fldCharType="begin">
                <w:ffData>
                  <w:name w:val="Texte37"/>
                  <w:enabled/>
                  <w:calcOnExit w:val="0"/>
                  <w:textInput>
                    <w:default w:val="Nom et prénom de l'enseignant"/>
                    <w:maxLength w:val="30"/>
                    <w:format w:val="第一个字母大写"/>
                  </w:textInput>
                </w:ffData>
              </w:fldChar>
            </w:r>
            <w:r>
              <w:rPr>
                <w:b/>
                <w:bCs/>
              </w:rPr>
              <w:instrText xml:space="preserve"> FORMTEXT </w:instrText>
            </w:r>
            <w:r>
              <w:rPr>
                <w:b/>
                <w:bCs/>
              </w:rPr>
              <w:fldChar w:fldCharType="separate"/>
            </w:r>
            <w:r>
              <w:rPr>
                <w:b/>
                <w:bCs/>
              </w:rPr>
              <w:t>Nom et prénom de l'enseignant</w:t>
            </w:r>
            <w:r>
              <w:rPr>
                <w:b/>
                <w:bCs/>
              </w:rPr>
              <w:fldChar w:fldCharType="end"/>
            </w:r>
          </w:p>
          <w:p w14:paraId="21A3AFDF">
            <w:pPr>
              <w:spacing w:after="0" w:line="240" w:lineRule="auto"/>
              <w:jc w:val="center"/>
              <w:rPr>
                <w:b/>
                <w:bCs/>
                <w:i/>
                <w:iCs/>
                <w:lang w:val="en-US"/>
              </w:rPr>
            </w:pPr>
            <w:r>
              <w:rPr>
                <w:rFonts w:hint="default" w:ascii="Segoe UI" w:hAnsi="Segoe UI" w:eastAsia="Segoe UI" w:cs="Segoe UI"/>
                <w:kern w:val="0"/>
                <w:sz w:val="22"/>
                <w:szCs w:val="22"/>
                <w:lang w:val="en-US" w:eastAsia="zh-CN" w:bidi="ar"/>
              </w:rPr>
              <w:t>Khenchouche Abdelhalim</w:t>
            </w:r>
          </w:p>
        </w:tc>
      </w:tr>
      <w:tr w14:paraId="6965C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75" w:type="dxa"/>
            <w:gridSpan w:val="2"/>
            <w:vMerge w:val="continue"/>
            <w:shd w:val="clear" w:color="auto" w:fill="F1F1F1" w:themeFill="background1" w:themeFillShade="F2"/>
            <w:vAlign w:val="center"/>
          </w:tcPr>
          <w:p w14:paraId="23EBBFD6">
            <w:pPr>
              <w:spacing w:after="0" w:line="240" w:lineRule="auto"/>
              <w:jc w:val="center"/>
              <w:rPr>
                <w:lang w:val="en-US"/>
              </w:rPr>
            </w:pPr>
          </w:p>
        </w:tc>
        <w:tc>
          <w:tcPr>
            <w:tcW w:w="4411" w:type="dxa"/>
            <w:gridSpan w:val="4"/>
            <w:shd w:val="clear" w:color="auto" w:fill="F1F1F1" w:themeFill="background1" w:themeFillShade="F2"/>
            <w:vAlign w:val="center"/>
          </w:tcPr>
          <w:p w14:paraId="272A0B13">
            <w:pPr>
              <w:spacing w:after="0" w:line="240" w:lineRule="auto"/>
              <w:jc w:val="center"/>
              <w:rPr>
                <w:lang w:val="en-US"/>
              </w:rPr>
            </w:pPr>
            <w:r>
              <w:t>Réception des étudiants par semaine</w:t>
            </w:r>
          </w:p>
        </w:tc>
      </w:tr>
      <w:tr w14:paraId="3FA6E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shd w:val="clear" w:color="auto" w:fill="F1F1F1" w:themeFill="background1" w:themeFillShade="F2"/>
            <w:vAlign w:val="center"/>
          </w:tcPr>
          <w:p w14:paraId="776BCE1A">
            <w:pPr>
              <w:spacing w:after="0" w:line="240" w:lineRule="auto"/>
              <w:rPr>
                <w:lang w:val="en-US"/>
              </w:rPr>
            </w:pPr>
            <w:r>
              <w:rPr>
                <w:lang w:val="en-US"/>
              </w:rPr>
              <w:t>Email </w:t>
            </w:r>
          </w:p>
        </w:tc>
        <w:tc>
          <w:tcPr>
            <w:tcW w:w="3411" w:type="dxa"/>
            <w:vAlign w:val="center"/>
          </w:tcPr>
          <w:p w14:paraId="7127683D">
            <w:pPr>
              <w:keepNext w:val="0"/>
              <w:keepLines w:val="0"/>
              <w:widowControl/>
              <w:suppressLineNumbers w:val="0"/>
              <w:spacing w:line="375" w:lineRule="atLeast"/>
              <w:jc w:val="left"/>
              <w:rPr>
                <w:i/>
                <w:iCs/>
                <w:sz w:val="16"/>
                <w:szCs w:val="16"/>
                <w:lang w:val="en-US"/>
              </w:rPr>
            </w:pPr>
            <w:r>
              <w:rPr>
                <w:rFonts w:hint="default" w:ascii="Segoe UI" w:hAnsi="Segoe UI" w:eastAsia="Segoe UI" w:cs="Segoe UI"/>
                <w:kern w:val="0"/>
                <w:sz w:val="22"/>
                <w:szCs w:val="22"/>
                <w:lang w:val="en-US" w:eastAsia="zh-CN" w:bidi="ar"/>
              </w:rPr>
              <w:t>Halim.khenchouche@gmail.com</w:t>
            </w:r>
          </w:p>
        </w:tc>
        <w:tc>
          <w:tcPr>
            <w:tcW w:w="1075" w:type="dxa"/>
            <w:shd w:val="clear" w:color="auto" w:fill="F1F1F1" w:themeFill="background1" w:themeFillShade="F2"/>
            <w:vAlign w:val="center"/>
          </w:tcPr>
          <w:p w14:paraId="0D4673D3">
            <w:pPr>
              <w:spacing w:after="0" w:line="240" w:lineRule="auto"/>
              <w:rPr>
                <w:lang w:val="en-US"/>
              </w:rPr>
            </w:pPr>
            <w:r>
              <w:rPr>
                <w:rFonts w:hint="default"/>
                <w:lang w:val="fr-FR"/>
              </w:rPr>
              <w:t>Jour</w:t>
            </w:r>
            <w:r>
              <w:rPr>
                <w:lang w:val="en-US"/>
              </w:rPr>
              <w:t>:</w:t>
            </w:r>
          </w:p>
        </w:tc>
        <w:tc>
          <w:tcPr>
            <w:tcW w:w="1212" w:type="dxa"/>
            <w:shd w:val="clear" w:color="auto" w:fill="auto"/>
            <w:vAlign w:val="center"/>
          </w:tcPr>
          <w:p w14:paraId="7A602EDE">
            <w:pPr>
              <w:keepNext w:val="0"/>
              <w:keepLines w:val="0"/>
              <w:widowControl/>
              <w:suppressLineNumbers w:val="0"/>
              <w:spacing w:line="375" w:lineRule="atLeast"/>
              <w:jc w:val="left"/>
              <w:rPr>
                <w:rFonts w:hint="default" w:ascii="Segoe UI" w:hAnsi="Segoe UI" w:eastAsia="Segoe UI" w:cs="Segoe UI"/>
                <w:kern w:val="0"/>
                <w:sz w:val="22"/>
                <w:szCs w:val="22"/>
                <w:lang w:val="fr-FR" w:eastAsia="en-US" w:bidi="ar"/>
              </w:rPr>
            </w:pPr>
            <w:r>
              <w:rPr>
                <w:rFonts w:hint="default" w:ascii="Segoe UI" w:hAnsi="Segoe UI" w:eastAsia="Segoe UI" w:cs="Segoe UI"/>
                <w:kern w:val="0"/>
                <w:sz w:val="22"/>
                <w:szCs w:val="22"/>
                <w:lang w:val="fr-FR" w:eastAsia="zh-CN" w:bidi="ar"/>
              </w:rPr>
              <w:t>Dimanche</w:t>
            </w:r>
          </w:p>
        </w:tc>
        <w:tc>
          <w:tcPr>
            <w:tcW w:w="888" w:type="dxa"/>
            <w:shd w:val="clear" w:color="auto" w:fill="F1F1F1" w:themeFill="background1" w:themeFillShade="F2"/>
            <w:vAlign w:val="center"/>
          </w:tcPr>
          <w:p w14:paraId="099A5432">
            <w:pPr>
              <w:spacing w:after="0" w:line="240" w:lineRule="auto"/>
              <w:rPr>
                <w:lang w:val="en-US"/>
              </w:rPr>
            </w:pPr>
            <w:r>
              <w:rPr>
                <w:rFonts w:hint="default"/>
                <w:lang w:val="fr-FR"/>
              </w:rPr>
              <w:t>Heure</w:t>
            </w:r>
            <w:r>
              <w:rPr>
                <w:lang w:val="en-US"/>
              </w:rPr>
              <w:t>:</w:t>
            </w:r>
          </w:p>
        </w:tc>
        <w:tc>
          <w:tcPr>
            <w:tcW w:w="1236" w:type="dxa"/>
            <w:shd w:val="clear" w:color="auto" w:fill="auto"/>
            <w:vAlign w:val="center"/>
          </w:tcPr>
          <w:p w14:paraId="754386B7">
            <w:pPr>
              <w:keepNext w:val="0"/>
              <w:keepLines w:val="0"/>
              <w:widowControl/>
              <w:suppressLineNumbers w:val="0"/>
              <w:spacing w:line="375" w:lineRule="atLeast"/>
              <w:jc w:val="left"/>
              <w:rPr>
                <w:rFonts w:hint="default" w:ascii="Segoe UI" w:hAnsi="Segoe UI" w:eastAsia="Segoe UI" w:cs="Segoe UI"/>
                <w:sz w:val="22"/>
                <w:szCs w:val="22"/>
                <w:lang w:val="en-US" w:eastAsia="en-US" w:bidi="ar-SA"/>
              </w:rPr>
            </w:pPr>
            <w:r>
              <w:rPr>
                <w:rFonts w:hint="default" w:ascii="Segoe UI" w:hAnsi="Segoe UI" w:eastAsia="Segoe UI" w:cs="Segoe UI"/>
                <w:kern w:val="0"/>
                <w:sz w:val="22"/>
                <w:szCs w:val="22"/>
                <w:lang w:val="en-US" w:eastAsia="zh-CN" w:bidi="ar"/>
              </w:rPr>
              <w:t>8:00 AM</w:t>
            </w:r>
          </w:p>
        </w:tc>
      </w:tr>
      <w:tr w14:paraId="0CF83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shd w:val="clear" w:color="auto" w:fill="F1F1F1" w:themeFill="background1" w:themeFillShade="F2"/>
            <w:vAlign w:val="center"/>
          </w:tcPr>
          <w:p w14:paraId="5C552C82">
            <w:pPr>
              <w:spacing w:after="0" w:line="240" w:lineRule="auto"/>
              <w:rPr>
                <w:lang w:val="en-US"/>
              </w:rPr>
            </w:pPr>
            <w:r>
              <w:rPr>
                <w:lang w:val="en-US"/>
              </w:rPr>
              <w:t>Phone N°</w:t>
            </w:r>
          </w:p>
        </w:tc>
        <w:tc>
          <w:tcPr>
            <w:tcW w:w="3411" w:type="dxa"/>
            <w:vAlign w:val="center"/>
          </w:tcPr>
          <w:p w14:paraId="18B4BEAF">
            <w:pPr>
              <w:keepNext w:val="0"/>
              <w:keepLines w:val="0"/>
              <w:widowControl/>
              <w:suppressLineNumbers w:val="0"/>
              <w:spacing w:line="375" w:lineRule="atLeast"/>
              <w:jc w:val="left"/>
              <w:rPr>
                <w:i/>
                <w:iCs/>
                <w:lang w:val="en-US"/>
              </w:rPr>
            </w:pPr>
            <w:r>
              <w:rPr>
                <w:rFonts w:hint="default" w:ascii="Segoe UI" w:hAnsi="Segoe UI" w:eastAsia="Segoe UI" w:cs="Segoe UI"/>
                <w:kern w:val="0"/>
                <w:sz w:val="22"/>
                <w:szCs w:val="22"/>
                <w:lang w:val="en-US" w:eastAsia="zh-CN" w:bidi="ar"/>
              </w:rPr>
              <w:t>0659794159</w:t>
            </w:r>
          </w:p>
        </w:tc>
        <w:tc>
          <w:tcPr>
            <w:tcW w:w="1075" w:type="dxa"/>
            <w:shd w:val="clear" w:color="auto" w:fill="F1F1F1" w:themeFill="background1" w:themeFillShade="F2"/>
            <w:vAlign w:val="center"/>
          </w:tcPr>
          <w:p w14:paraId="1A561D65">
            <w:pPr>
              <w:spacing w:after="0" w:line="240" w:lineRule="auto"/>
              <w:rPr>
                <w:lang w:val="en-US"/>
              </w:rPr>
            </w:pPr>
            <w:r>
              <w:rPr>
                <w:rFonts w:hint="default"/>
                <w:lang w:val="fr-FR"/>
              </w:rPr>
              <w:t>Jour</w:t>
            </w:r>
          </w:p>
        </w:tc>
        <w:tc>
          <w:tcPr>
            <w:tcW w:w="1212" w:type="dxa"/>
            <w:shd w:val="clear" w:color="auto" w:fill="auto"/>
            <w:vAlign w:val="center"/>
          </w:tcPr>
          <w:p w14:paraId="37703FC3">
            <w:pPr>
              <w:keepNext w:val="0"/>
              <w:keepLines w:val="0"/>
              <w:widowControl/>
              <w:suppressLineNumbers w:val="0"/>
              <w:spacing w:line="375" w:lineRule="atLeast"/>
              <w:jc w:val="left"/>
              <w:rPr>
                <w:rFonts w:hint="default" w:ascii="Segoe UI" w:hAnsi="Segoe UI" w:eastAsia="Segoe UI" w:cs="Segoe UI"/>
                <w:kern w:val="0"/>
                <w:sz w:val="22"/>
                <w:szCs w:val="22"/>
                <w:lang w:val="fr-FR" w:eastAsia="en-US" w:bidi="ar"/>
              </w:rPr>
            </w:pPr>
            <w:r>
              <w:rPr>
                <w:rFonts w:hint="default" w:ascii="Segoe UI" w:hAnsi="Segoe UI" w:eastAsia="Segoe UI" w:cs="Segoe UI"/>
                <w:kern w:val="0"/>
                <w:sz w:val="22"/>
                <w:szCs w:val="22"/>
                <w:lang w:val="fr-FR" w:eastAsia="zh-CN" w:bidi="ar"/>
              </w:rPr>
              <w:t>Mardi</w:t>
            </w:r>
          </w:p>
        </w:tc>
        <w:tc>
          <w:tcPr>
            <w:tcW w:w="888" w:type="dxa"/>
            <w:shd w:val="clear" w:color="auto" w:fill="F1F1F1" w:themeFill="background1" w:themeFillShade="F2"/>
            <w:vAlign w:val="center"/>
          </w:tcPr>
          <w:p w14:paraId="00A284FC">
            <w:pPr>
              <w:spacing w:after="0" w:line="240" w:lineRule="auto"/>
              <w:rPr>
                <w:lang w:val="en-US"/>
              </w:rPr>
            </w:pPr>
            <w:r>
              <w:rPr>
                <w:rFonts w:hint="default"/>
                <w:lang w:val="fr-FR"/>
              </w:rPr>
              <w:t>Heure</w:t>
            </w:r>
            <w:r>
              <w:rPr>
                <w:lang w:val="en-US"/>
              </w:rPr>
              <w:t>:</w:t>
            </w:r>
          </w:p>
        </w:tc>
        <w:tc>
          <w:tcPr>
            <w:tcW w:w="1236" w:type="dxa"/>
            <w:vAlign w:val="center"/>
          </w:tcPr>
          <w:p w14:paraId="17F6A813">
            <w:pPr>
              <w:spacing w:after="0" w:line="240" w:lineRule="auto"/>
              <w:rPr>
                <w:rFonts w:hint="default"/>
                <w:i/>
                <w:iCs/>
                <w:lang w:val="fr-FR"/>
              </w:rPr>
            </w:pPr>
            <w:r>
              <w:rPr>
                <w:rFonts w:hint="default"/>
                <w:i/>
                <w:iCs/>
                <w:lang w:val="fr-FR"/>
              </w:rPr>
              <w:t>11:00 AM</w:t>
            </w:r>
          </w:p>
        </w:tc>
      </w:tr>
      <w:tr w14:paraId="20299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shd w:val="clear" w:color="auto" w:fill="F1F1F1" w:themeFill="background1" w:themeFillShade="F2"/>
            <w:vAlign w:val="center"/>
          </w:tcPr>
          <w:p w14:paraId="0E3C128A">
            <w:pPr>
              <w:spacing w:after="0" w:line="240" w:lineRule="auto"/>
              <w:rPr>
                <w:lang w:val="en-US"/>
              </w:rPr>
            </w:pPr>
            <w:r>
              <w:rPr>
                <w:lang w:val="en-US"/>
              </w:rPr>
              <w:t>Secretary Phone</w:t>
            </w:r>
          </w:p>
        </w:tc>
        <w:tc>
          <w:tcPr>
            <w:tcW w:w="3411" w:type="dxa"/>
            <w:vAlign w:val="center"/>
          </w:tcPr>
          <w:p w14:paraId="3AE21001">
            <w:pPr>
              <w:spacing w:after="0" w:line="240" w:lineRule="auto"/>
              <w:rPr>
                <w:i/>
                <w:iCs/>
                <w:lang w:val="en-US"/>
              </w:rPr>
            </w:pPr>
          </w:p>
        </w:tc>
        <w:tc>
          <w:tcPr>
            <w:tcW w:w="1075" w:type="dxa"/>
            <w:shd w:val="clear" w:color="auto" w:fill="F1F1F1" w:themeFill="background1" w:themeFillShade="F2"/>
            <w:vAlign w:val="center"/>
          </w:tcPr>
          <w:p w14:paraId="25079249">
            <w:pPr>
              <w:spacing w:after="0" w:line="240" w:lineRule="auto"/>
              <w:rPr>
                <w:lang w:val="en-US"/>
              </w:rPr>
            </w:pPr>
            <w:r>
              <w:rPr>
                <w:rFonts w:hint="default"/>
                <w:lang w:val="fr-FR"/>
              </w:rPr>
              <w:t>Jour</w:t>
            </w:r>
          </w:p>
        </w:tc>
        <w:tc>
          <w:tcPr>
            <w:tcW w:w="1212" w:type="dxa"/>
            <w:vAlign w:val="center"/>
          </w:tcPr>
          <w:p w14:paraId="0A7A1321">
            <w:pPr>
              <w:keepNext w:val="0"/>
              <w:keepLines w:val="0"/>
              <w:widowControl/>
              <w:suppressLineNumbers w:val="0"/>
              <w:spacing w:line="375" w:lineRule="atLeast"/>
              <w:jc w:val="left"/>
              <w:rPr>
                <w:rFonts w:hint="default" w:ascii="Segoe UI" w:hAnsi="Segoe UI" w:eastAsia="Segoe UI" w:cs="Segoe UI"/>
                <w:kern w:val="0"/>
                <w:sz w:val="22"/>
                <w:szCs w:val="22"/>
                <w:lang w:val="fr-FR" w:eastAsia="zh-CN" w:bidi="ar"/>
              </w:rPr>
            </w:pPr>
            <w:r>
              <w:rPr>
                <w:rFonts w:hint="default" w:ascii="Segoe UI" w:hAnsi="Segoe UI" w:eastAsia="Segoe UI" w:cs="Segoe UI"/>
                <w:kern w:val="0"/>
                <w:sz w:val="22"/>
                <w:szCs w:val="22"/>
                <w:lang w:val="fr-FR" w:eastAsia="en-US" w:bidi="ar"/>
              </w:rPr>
              <w:t>Mercredi</w:t>
            </w:r>
          </w:p>
        </w:tc>
        <w:tc>
          <w:tcPr>
            <w:tcW w:w="888" w:type="dxa"/>
            <w:shd w:val="clear" w:color="auto" w:fill="F1F1F1" w:themeFill="background1" w:themeFillShade="F2"/>
            <w:vAlign w:val="center"/>
          </w:tcPr>
          <w:p w14:paraId="25D2B3AC">
            <w:pPr>
              <w:spacing w:after="0" w:line="240" w:lineRule="auto"/>
              <w:rPr>
                <w:lang w:val="en-US"/>
              </w:rPr>
            </w:pPr>
            <w:r>
              <w:rPr>
                <w:rFonts w:hint="default"/>
                <w:lang w:val="fr-FR"/>
              </w:rPr>
              <w:t>Heure</w:t>
            </w:r>
            <w:r>
              <w:rPr>
                <w:lang w:val="en-US"/>
              </w:rPr>
              <w:t>:</w:t>
            </w:r>
          </w:p>
        </w:tc>
        <w:tc>
          <w:tcPr>
            <w:tcW w:w="1236" w:type="dxa"/>
            <w:vAlign w:val="center"/>
          </w:tcPr>
          <w:p w14:paraId="5FEF8FEF">
            <w:pPr>
              <w:spacing w:after="0" w:line="240" w:lineRule="auto"/>
              <w:rPr>
                <w:rFonts w:hint="default"/>
                <w:i/>
                <w:iCs/>
                <w:lang w:val="fr-FR"/>
              </w:rPr>
            </w:pPr>
            <w:r>
              <w:rPr>
                <w:rFonts w:hint="default"/>
                <w:i/>
                <w:iCs/>
                <w:lang w:val="fr-FR"/>
              </w:rPr>
              <w:t>11:00 AM</w:t>
            </w:r>
          </w:p>
        </w:tc>
      </w:tr>
      <w:tr w14:paraId="57D0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4" w:type="dxa"/>
            <w:shd w:val="clear" w:color="auto" w:fill="F1F1F1" w:themeFill="background1" w:themeFillShade="F2"/>
            <w:vAlign w:val="center"/>
          </w:tcPr>
          <w:p w14:paraId="77B172D5">
            <w:pPr>
              <w:spacing w:after="0" w:line="240" w:lineRule="auto"/>
              <w:rPr>
                <w:lang w:val="en-US"/>
              </w:rPr>
            </w:pPr>
            <w:r>
              <w:rPr>
                <w:lang w:val="en-US"/>
              </w:rPr>
              <w:t>Other</w:t>
            </w:r>
          </w:p>
        </w:tc>
        <w:tc>
          <w:tcPr>
            <w:tcW w:w="3411" w:type="dxa"/>
            <w:vAlign w:val="center"/>
          </w:tcPr>
          <w:p w14:paraId="5456F67E">
            <w:pPr>
              <w:spacing w:after="0" w:line="240" w:lineRule="auto"/>
              <w:rPr>
                <w:i/>
                <w:iCs/>
                <w:lang w:val="en-US"/>
              </w:rPr>
            </w:pPr>
          </w:p>
        </w:tc>
        <w:tc>
          <w:tcPr>
            <w:tcW w:w="1075" w:type="dxa"/>
            <w:shd w:val="clear" w:color="auto" w:fill="F1F1F1" w:themeFill="background1" w:themeFillShade="F2"/>
            <w:vAlign w:val="center"/>
          </w:tcPr>
          <w:p w14:paraId="08866660">
            <w:pPr>
              <w:spacing w:after="0" w:line="240" w:lineRule="auto"/>
              <w:rPr>
                <w:rFonts w:hint="default"/>
                <w:lang w:val="fr-FR"/>
              </w:rPr>
            </w:pPr>
            <w:r>
              <w:rPr>
                <w:rFonts w:hint="default"/>
                <w:lang w:val="fr-FR"/>
              </w:rPr>
              <w:t>Batiment</w:t>
            </w:r>
          </w:p>
        </w:tc>
        <w:tc>
          <w:tcPr>
            <w:tcW w:w="1212" w:type="dxa"/>
            <w:vAlign w:val="center"/>
          </w:tcPr>
          <w:p w14:paraId="19D9C5A4">
            <w:pPr>
              <w:spacing w:after="0" w:line="240" w:lineRule="auto"/>
              <w:rPr>
                <w:rFonts w:hint="default"/>
                <w:i/>
                <w:iCs/>
                <w:lang w:val="fr-FR"/>
              </w:rPr>
            </w:pPr>
            <w:r>
              <w:rPr>
                <w:rFonts w:hint="default"/>
                <w:i/>
                <w:iCs/>
                <w:lang w:val="fr-FR"/>
              </w:rPr>
              <w:t>SNV</w:t>
            </w:r>
          </w:p>
        </w:tc>
        <w:tc>
          <w:tcPr>
            <w:tcW w:w="888" w:type="dxa"/>
            <w:shd w:val="clear" w:color="auto" w:fill="F1F1F1" w:themeFill="background1" w:themeFillShade="F2"/>
            <w:vAlign w:val="center"/>
          </w:tcPr>
          <w:p w14:paraId="65248681">
            <w:pPr>
              <w:spacing w:after="0" w:line="240" w:lineRule="auto"/>
              <w:rPr>
                <w:lang w:val="en-US"/>
              </w:rPr>
            </w:pPr>
            <w:r>
              <w:rPr>
                <w:rFonts w:hint="default"/>
                <w:lang w:val="fr-FR"/>
              </w:rPr>
              <w:t>Bureau</w:t>
            </w:r>
          </w:p>
        </w:tc>
        <w:tc>
          <w:tcPr>
            <w:tcW w:w="1236" w:type="dxa"/>
            <w:vAlign w:val="center"/>
          </w:tcPr>
          <w:p w14:paraId="1052F1F5">
            <w:pPr>
              <w:spacing w:after="0" w:line="240" w:lineRule="auto"/>
              <w:rPr>
                <w:rFonts w:hint="default"/>
                <w:i/>
                <w:iCs/>
                <w:lang w:val="fr-FR"/>
              </w:rPr>
            </w:pPr>
            <w:r>
              <w:rPr>
                <w:rFonts w:hint="default"/>
                <w:i/>
                <w:iCs/>
                <w:lang w:val="fr-FR"/>
              </w:rPr>
              <w:t>12</w:t>
            </w:r>
          </w:p>
        </w:tc>
      </w:tr>
    </w:tbl>
    <w:p w14:paraId="3AA65F67">
      <w:pPr>
        <w:rPr>
          <w:lang w:val="en-US"/>
        </w:rPr>
      </w:pP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657"/>
        <w:gridCol w:w="873"/>
        <w:gridCol w:w="827"/>
        <w:gridCol w:w="1013"/>
        <w:gridCol w:w="773"/>
        <w:gridCol w:w="873"/>
        <w:gridCol w:w="865"/>
      </w:tblGrid>
      <w:tr w14:paraId="7C3E0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vAlign w:val="center"/>
          </w:tcPr>
          <w:p w14:paraId="33F41F78">
            <w:pPr>
              <w:spacing w:after="0" w:line="240" w:lineRule="auto"/>
              <w:jc w:val="center"/>
              <w:rPr>
                <w:sz w:val="36"/>
                <w:szCs w:val="36"/>
              </w:rPr>
            </w:pPr>
            <w:r>
              <w:rPr>
                <w:sz w:val="36"/>
                <w:szCs w:val="36"/>
              </w:rPr>
              <w:t>TRAVAUX DIRIGES</w:t>
            </w:r>
          </w:p>
          <w:p w14:paraId="475661FE">
            <w:pPr>
              <w:spacing w:after="0" w:line="240" w:lineRule="auto"/>
              <w:jc w:val="center"/>
              <w:rPr>
                <w:lang w:val="en-US"/>
              </w:rPr>
            </w:pPr>
            <w:r>
              <w:rPr>
                <w:sz w:val="36"/>
                <w:szCs w:val="36"/>
              </w:rPr>
              <w:t>(Réception des étudiants par semaine)</w:t>
            </w:r>
          </w:p>
        </w:tc>
      </w:tr>
      <w:tr w14:paraId="580C0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pct"/>
            <w:vMerge w:val="restart"/>
            <w:shd w:val="clear" w:color="auto" w:fill="D8D8D8" w:themeFill="background1" w:themeFillShade="D9"/>
            <w:vAlign w:val="center"/>
          </w:tcPr>
          <w:p w14:paraId="03234947">
            <w:pPr>
              <w:spacing w:after="0" w:line="240" w:lineRule="auto"/>
              <w:jc w:val="center"/>
              <w:rPr>
                <w:rFonts w:hint="default"/>
                <w:lang w:val="fr-FR"/>
              </w:rPr>
            </w:pPr>
            <w:r>
              <w:rPr>
                <w:rFonts w:hint="default"/>
                <w:lang w:val="fr-FR"/>
              </w:rPr>
              <w:t>Nom et Prénom de l’enseignant</w:t>
            </w:r>
          </w:p>
        </w:tc>
        <w:tc>
          <w:tcPr>
            <w:tcW w:w="892" w:type="pct"/>
            <w:vMerge w:val="restart"/>
            <w:shd w:val="clear" w:color="auto" w:fill="D8D8D8" w:themeFill="background1" w:themeFillShade="D9"/>
            <w:vAlign w:val="center"/>
          </w:tcPr>
          <w:p w14:paraId="49F62542">
            <w:pPr>
              <w:spacing w:after="0" w:line="240" w:lineRule="auto"/>
              <w:jc w:val="center"/>
              <w:rPr>
                <w:lang w:val="en-US"/>
              </w:rPr>
            </w:pPr>
            <w:r>
              <w:rPr>
                <w:rFonts w:hint="default"/>
                <w:lang w:val="fr-FR"/>
              </w:rPr>
              <w:t>Bureau</w:t>
            </w:r>
          </w:p>
        </w:tc>
        <w:tc>
          <w:tcPr>
            <w:tcW w:w="915" w:type="pct"/>
            <w:gridSpan w:val="2"/>
            <w:shd w:val="clear" w:color="auto" w:fill="D8D8D8" w:themeFill="background1" w:themeFillShade="D9"/>
            <w:vAlign w:val="center"/>
          </w:tcPr>
          <w:p w14:paraId="49A18F36">
            <w:pPr>
              <w:spacing w:after="0" w:line="240" w:lineRule="auto"/>
              <w:jc w:val="center"/>
              <w:rPr>
                <w:lang w:val="en-US"/>
              </w:rPr>
            </w:pPr>
            <w:r>
              <w:rPr>
                <w:rStyle w:val="17"/>
              </w:rPr>
              <w:t>Session</w:t>
            </w:r>
            <w:r>
              <w:rPr>
                <w:lang w:val="en-US"/>
              </w:rPr>
              <w:t xml:space="preserve"> 1</w:t>
            </w:r>
          </w:p>
        </w:tc>
        <w:tc>
          <w:tcPr>
            <w:tcW w:w="961" w:type="pct"/>
            <w:gridSpan w:val="2"/>
            <w:shd w:val="clear" w:color="auto" w:fill="D8D8D8" w:themeFill="background1" w:themeFillShade="D9"/>
            <w:vAlign w:val="center"/>
          </w:tcPr>
          <w:p w14:paraId="33744E4C">
            <w:pPr>
              <w:spacing w:after="0" w:line="240" w:lineRule="auto"/>
              <w:jc w:val="center"/>
              <w:rPr>
                <w:lang w:val="en-US"/>
              </w:rPr>
            </w:pPr>
            <w:r>
              <w:rPr>
                <w:rStyle w:val="17"/>
              </w:rPr>
              <w:t>Session</w:t>
            </w:r>
            <w:r>
              <w:rPr>
                <w:lang w:val="en-US"/>
              </w:rPr>
              <w:t>2</w:t>
            </w:r>
          </w:p>
        </w:tc>
        <w:tc>
          <w:tcPr>
            <w:tcW w:w="935" w:type="pct"/>
            <w:gridSpan w:val="2"/>
            <w:shd w:val="clear" w:color="auto" w:fill="D8D8D8" w:themeFill="background1" w:themeFillShade="D9"/>
            <w:vAlign w:val="center"/>
          </w:tcPr>
          <w:p w14:paraId="007CE616">
            <w:pPr>
              <w:spacing w:after="0" w:line="240" w:lineRule="auto"/>
              <w:jc w:val="center"/>
              <w:rPr>
                <w:lang w:val="en-US"/>
              </w:rPr>
            </w:pPr>
            <w:r>
              <w:rPr>
                <w:rStyle w:val="17"/>
              </w:rPr>
              <w:t>Session</w:t>
            </w:r>
            <w:r>
              <w:rPr>
                <w:lang w:val="en-US"/>
              </w:rPr>
              <w:t>3</w:t>
            </w:r>
          </w:p>
        </w:tc>
      </w:tr>
      <w:tr w14:paraId="7DC93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pct"/>
            <w:vMerge w:val="continue"/>
            <w:shd w:val="clear" w:color="auto" w:fill="D8D8D8" w:themeFill="background1" w:themeFillShade="D9"/>
            <w:vAlign w:val="center"/>
          </w:tcPr>
          <w:p w14:paraId="2B043317">
            <w:pPr>
              <w:spacing w:after="0" w:line="240" w:lineRule="auto"/>
              <w:jc w:val="center"/>
              <w:rPr>
                <w:lang w:val="en-US"/>
              </w:rPr>
            </w:pPr>
          </w:p>
        </w:tc>
        <w:tc>
          <w:tcPr>
            <w:tcW w:w="892" w:type="pct"/>
            <w:vMerge w:val="continue"/>
            <w:shd w:val="clear" w:color="auto" w:fill="D8D8D8" w:themeFill="background1" w:themeFillShade="D9"/>
            <w:vAlign w:val="center"/>
          </w:tcPr>
          <w:p w14:paraId="75B8EF5C">
            <w:pPr>
              <w:spacing w:after="0" w:line="240" w:lineRule="auto"/>
              <w:rPr>
                <w:lang w:val="en-US"/>
              </w:rPr>
            </w:pPr>
          </w:p>
        </w:tc>
        <w:tc>
          <w:tcPr>
            <w:tcW w:w="470" w:type="pct"/>
            <w:shd w:val="clear" w:color="auto" w:fill="D8D8D8" w:themeFill="background1" w:themeFillShade="D9"/>
            <w:vAlign w:val="center"/>
          </w:tcPr>
          <w:p w14:paraId="3A40511D">
            <w:pPr>
              <w:spacing w:after="0" w:line="240" w:lineRule="auto"/>
              <w:jc w:val="center"/>
              <w:rPr>
                <w:lang w:val="en-US"/>
              </w:rPr>
            </w:pPr>
            <w:r>
              <w:rPr>
                <w:rFonts w:hint="default"/>
                <w:lang w:val="fr-FR"/>
              </w:rPr>
              <w:t>Jour</w:t>
            </w:r>
          </w:p>
        </w:tc>
        <w:tc>
          <w:tcPr>
            <w:tcW w:w="445" w:type="pct"/>
            <w:shd w:val="clear" w:color="auto" w:fill="D8D8D8" w:themeFill="background1" w:themeFillShade="D9"/>
            <w:vAlign w:val="center"/>
          </w:tcPr>
          <w:p w14:paraId="69E39D3E">
            <w:pPr>
              <w:spacing w:after="0" w:line="240" w:lineRule="auto"/>
              <w:jc w:val="center"/>
              <w:rPr>
                <w:lang w:val="en-US"/>
              </w:rPr>
            </w:pPr>
            <w:r>
              <w:rPr>
                <w:rFonts w:hint="default"/>
                <w:lang w:val="fr-FR"/>
              </w:rPr>
              <w:t>Heure</w:t>
            </w:r>
          </w:p>
        </w:tc>
        <w:tc>
          <w:tcPr>
            <w:tcW w:w="545" w:type="pct"/>
            <w:shd w:val="clear" w:color="auto" w:fill="D8D8D8" w:themeFill="background1" w:themeFillShade="D9"/>
            <w:vAlign w:val="center"/>
          </w:tcPr>
          <w:p w14:paraId="2F82338D">
            <w:pPr>
              <w:spacing w:after="0" w:line="240" w:lineRule="auto"/>
              <w:jc w:val="center"/>
              <w:rPr>
                <w:lang w:val="en-US"/>
              </w:rPr>
            </w:pPr>
            <w:r>
              <w:rPr>
                <w:rFonts w:hint="default"/>
                <w:lang w:val="fr-FR"/>
              </w:rPr>
              <w:t>Jour</w:t>
            </w:r>
          </w:p>
        </w:tc>
        <w:tc>
          <w:tcPr>
            <w:tcW w:w="416" w:type="pct"/>
            <w:shd w:val="clear" w:color="auto" w:fill="D8D8D8" w:themeFill="background1" w:themeFillShade="D9"/>
            <w:vAlign w:val="center"/>
          </w:tcPr>
          <w:p w14:paraId="1C80A3B7">
            <w:pPr>
              <w:spacing w:after="0" w:line="240" w:lineRule="auto"/>
              <w:jc w:val="center"/>
              <w:rPr>
                <w:lang w:val="en-US"/>
              </w:rPr>
            </w:pPr>
            <w:r>
              <w:rPr>
                <w:rFonts w:hint="default"/>
                <w:lang w:val="fr-FR"/>
              </w:rPr>
              <w:t>Heure</w:t>
            </w:r>
          </w:p>
        </w:tc>
        <w:tc>
          <w:tcPr>
            <w:tcW w:w="470" w:type="pct"/>
            <w:shd w:val="clear" w:color="auto" w:fill="D8D8D8" w:themeFill="background1" w:themeFillShade="D9"/>
            <w:vAlign w:val="center"/>
          </w:tcPr>
          <w:p w14:paraId="77E1A9F2">
            <w:pPr>
              <w:spacing w:after="0" w:line="240" w:lineRule="auto"/>
              <w:jc w:val="center"/>
              <w:rPr>
                <w:lang w:val="en-US"/>
              </w:rPr>
            </w:pPr>
            <w:r>
              <w:rPr>
                <w:rFonts w:hint="default"/>
                <w:lang w:val="fr-FR"/>
              </w:rPr>
              <w:t>Jour</w:t>
            </w:r>
          </w:p>
        </w:tc>
        <w:tc>
          <w:tcPr>
            <w:tcW w:w="465" w:type="pct"/>
            <w:shd w:val="clear" w:color="auto" w:fill="D8D8D8" w:themeFill="background1" w:themeFillShade="D9"/>
            <w:vAlign w:val="center"/>
          </w:tcPr>
          <w:p w14:paraId="09DBABC1">
            <w:pPr>
              <w:spacing w:after="0" w:line="240" w:lineRule="auto"/>
              <w:jc w:val="center"/>
              <w:rPr>
                <w:lang w:val="en-US"/>
              </w:rPr>
            </w:pPr>
            <w:r>
              <w:rPr>
                <w:rFonts w:hint="default"/>
                <w:lang w:val="fr-FR"/>
              </w:rPr>
              <w:t>Heure</w:t>
            </w:r>
          </w:p>
        </w:tc>
      </w:tr>
      <w:tr w14:paraId="0B11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4" w:type="pct"/>
            <w:shd w:val="clear" w:color="auto" w:fill="auto"/>
            <w:vAlign w:val="center"/>
          </w:tcPr>
          <w:p w14:paraId="00423DC7">
            <w:pPr>
              <w:spacing w:after="0" w:line="240" w:lineRule="auto"/>
              <w:rPr>
                <w:rFonts w:hint="default" w:asciiTheme="minorHAnsi" w:hAnsiTheme="minorHAnsi" w:eastAsiaTheme="minorHAnsi" w:cstheme="minorBidi"/>
                <w:i/>
                <w:iCs/>
                <w:sz w:val="22"/>
                <w:szCs w:val="22"/>
                <w:lang w:val="en-US" w:eastAsia="en-US" w:bidi="ar-SA"/>
              </w:rPr>
            </w:pPr>
            <w:r>
              <w:rPr>
                <w:rFonts w:hint="default"/>
                <w:i/>
                <w:iCs/>
                <w:lang w:val="fr-FR"/>
              </w:rPr>
              <w:t>Abdelhalim Khenchouche</w:t>
            </w:r>
          </w:p>
        </w:tc>
        <w:tc>
          <w:tcPr>
            <w:tcW w:w="892" w:type="pct"/>
            <w:vAlign w:val="center"/>
          </w:tcPr>
          <w:p w14:paraId="539249D2">
            <w:pPr>
              <w:spacing w:after="0" w:line="240" w:lineRule="auto"/>
              <w:jc w:val="center"/>
              <w:rPr>
                <w:rFonts w:hint="default"/>
                <w:i/>
                <w:iCs/>
                <w:lang w:val="fr-FR"/>
              </w:rPr>
            </w:pPr>
            <w:r>
              <w:rPr>
                <w:rFonts w:hint="default"/>
                <w:i/>
                <w:iCs/>
                <w:lang w:val="fr-FR"/>
              </w:rPr>
              <w:t>12</w:t>
            </w:r>
          </w:p>
        </w:tc>
        <w:tc>
          <w:tcPr>
            <w:tcW w:w="470" w:type="pct"/>
            <w:vAlign w:val="center"/>
          </w:tcPr>
          <w:p w14:paraId="0F09628A">
            <w:pPr>
              <w:spacing w:after="0" w:line="240" w:lineRule="auto"/>
              <w:rPr>
                <w:rFonts w:hint="default"/>
                <w:i/>
                <w:iCs/>
                <w:lang w:val="fr-FR"/>
              </w:rPr>
            </w:pPr>
            <w:r>
              <w:rPr>
                <w:rFonts w:hint="default"/>
                <w:i/>
                <w:iCs/>
                <w:lang w:val="fr-FR"/>
              </w:rPr>
              <w:t>Dim</w:t>
            </w:r>
          </w:p>
        </w:tc>
        <w:tc>
          <w:tcPr>
            <w:tcW w:w="445" w:type="pct"/>
            <w:vAlign w:val="center"/>
          </w:tcPr>
          <w:p w14:paraId="706A61E9">
            <w:pPr>
              <w:spacing w:after="0" w:line="240" w:lineRule="auto"/>
              <w:rPr>
                <w:rFonts w:hint="default"/>
                <w:i/>
                <w:iCs/>
                <w:lang w:val="fr-FR"/>
              </w:rPr>
            </w:pPr>
            <w:r>
              <w:rPr>
                <w:rFonts w:hint="default"/>
                <w:i/>
                <w:iCs/>
                <w:lang w:val="fr-FR"/>
              </w:rPr>
              <w:t>8:00 AM</w:t>
            </w:r>
          </w:p>
        </w:tc>
        <w:tc>
          <w:tcPr>
            <w:tcW w:w="545" w:type="pct"/>
            <w:vAlign w:val="center"/>
          </w:tcPr>
          <w:p w14:paraId="3E2A4748">
            <w:pPr>
              <w:spacing w:after="0" w:line="240" w:lineRule="auto"/>
              <w:rPr>
                <w:rFonts w:hint="default"/>
                <w:i/>
                <w:iCs/>
                <w:lang w:val="fr-FR"/>
              </w:rPr>
            </w:pPr>
            <w:r>
              <w:rPr>
                <w:rFonts w:hint="default"/>
                <w:i/>
                <w:iCs/>
                <w:lang w:val="fr-FR"/>
              </w:rPr>
              <w:t>Mardi</w:t>
            </w:r>
          </w:p>
        </w:tc>
        <w:tc>
          <w:tcPr>
            <w:tcW w:w="416" w:type="pct"/>
            <w:vAlign w:val="center"/>
          </w:tcPr>
          <w:p w14:paraId="5A2E9956">
            <w:pPr>
              <w:spacing w:after="0" w:line="240" w:lineRule="auto"/>
              <w:rPr>
                <w:rFonts w:hint="default"/>
                <w:i/>
                <w:iCs/>
                <w:lang w:val="fr-FR"/>
              </w:rPr>
            </w:pPr>
            <w:r>
              <w:rPr>
                <w:rFonts w:hint="default"/>
                <w:i/>
                <w:iCs/>
                <w:lang w:val="fr-FR"/>
              </w:rPr>
              <w:t>10:00</w:t>
            </w:r>
          </w:p>
        </w:tc>
        <w:tc>
          <w:tcPr>
            <w:tcW w:w="470" w:type="pct"/>
            <w:vAlign w:val="center"/>
          </w:tcPr>
          <w:p w14:paraId="798275B9">
            <w:pPr>
              <w:spacing w:after="0" w:line="240" w:lineRule="auto"/>
              <w:rPr>
                <w:rFonts w:hint="default"/>
                <w:i/>
                <w:iCs/>
                <w:lang w:val="fr-FR"/>
              </w:rPr>
            </w:pPr>
            <w:r>
              <w:rPr>
                <w:rFonts w:hint="default"/>
                <w:i/>
                <w:iCs/>
                <w:lang w:val="fr-FR"/>
              </w:rPr>
              <w:t>Mercr</w:t>
            </w:r>
          </w:p>
        </w:tc>
        <w:tc>
          <w:tcPr>
            <w:tcW w:w="465" w:type="pct"/>
            <w:vAlign w:val="center"/>
          </w:tcPr>
          <w:p w14:paraId="644C55D3">
            <w:pPr>
              <w:spacing w:after="0" w:line="240" w:lineRule="auto"/>
              <w:rPr>
                <w:rFonts w:hint="default"/>
                <w:i/>
                <w:iCs/>
                <w:lang w:val="fr-FR"/>
              </w:rPr>
            </w:pPr>
            <w:r>
              <w:rPr>
                <w:rFonts w:hint="default"/>
                <w:i/>
                <w:iCs/>
                <w:lang w:val="fr-FR"/>
              </w:rPr>
              <w:t>10:00</w:t>
            </w:r>
          </w:p>
        </w:tc>
      </w:tr>
    </w:tbl>
    <w:p w14:paraId="31606A02"/>
    <w:p w14:paraId="43B855AE"/>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657"/>
        <w:gridCol w:w="873"/>
        <w:gridCol w:w="871"/>
        <w:gridCol w:w="871"/>
        <w:gridCol w:w="871"/>
        <w:gridCol w:w="873"/>
        <w:gridCol w:w="865"/>
      </w:tblGrid>
      <w:tr w14:paraId="5AA83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tcPr>
          <w:p w14:paraId="5970E84B">
            <w:pPr>
              <w:spacing w:after="0" w:line="240" w:lineRule="auto"/>
              <w:jc w:val="center"/>
              <w:rPr>
                <w:sz w:val="36"/>
                <w:szCs w:val="36"/>
              </w:rPr>
            </w:pPr>
            <w:r>
              <w:rPr>
                <w:sz w:val="36"/>
                <w:szCs w:val="36"/>
              </w:rPr>
              <w:t>TRAVAUX PRATIQUES</w:t>
            </w:r>
          </w:p>
          <w:p w14:paraId="0227FB23">
            <w:pPr>
              <w:spacing w:after="0" w:line="240" w:lineRule="auto"/>
              <w:jc w:val="center"/>
            </w:pPr>
            <w:r>
              <w:rPr>
                <w:sz w:val="36"/>
                <w:szCs w:val="36"/>
              </w:rPr>
              <w:t>(Réception des étudiants par semaine)</w:t>
            </w:r>
          </w:p>
        </w:tc>
      </w:tr>
      <w:tr w14:paraId="455B6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Merge w:val="restart"/>
            <w:shd w:val="clear" w:color="auto" w:fill="D8D8D8" w:themeFill="background1" w:themeFillShade="D9"/>
          </w:tcPr>
          <w:p w14:paraId="1B8F7E09">
            <w:pPr>
              <w:spacing w:after="0" w:line="240" w:lineRule="auto"/>
              <w:jc w:val="center"/>
            </w:pPr>
            <w:r>
              <w:t xml:space="preserve">NOMS ET PRENOMS DES ENSEIGNANTS </w:t>
            </w:r>
          </w:p>
        </w:tc>
        <w:tc>
          <w:tcPr>
            <w:tcW w:w="892" w:type="pct"/>
            <w:vMerge w:val="restart"/>
            <w:shd w:val="clear" w:color="auto" w:fill="D8D8D8" w:themeFill="background1" w:themeFillShade="D9"/>
            <w:vAlign w:val="center"/>
          </w:tcPr>
          <w:p w14:paraId="0D4A5124">
            <w:pPr>
              <w:spacing w:after="0" w:line="240" w:lineRule="auto"/>
              <w:jc w:val="center"/>
            </w:pPr>
            <w:r>
              <w:t>Bureau/salle réception</w:t>
            </w:r>
          </w:p>
        </w:tc>
        <w:tc>
          <w:tcPr>
            <w:tcW w:w="939" w:type="pct"/>
            <w:gridSpan w:val="2"/>
            <w:shd w:val="clear" w:color="auto" w:fill="D8D8D8" w:themeFill="background1" w:themeFillShade="D9"/>
          </w:tcPr>
          <w:p w14:paraId="5C540320">
            <w:pPr>
              <w:spacing w:after="0" w:line="240" w:lineRule="auto"/>
              <w:jc w:val="center"/>
            </w:pPr>
            <w:r>
              <w:t>Séance 1</w:t>
            </w:r>
          </w:p>
        </w:tc>
        <w:tc>
          <w:tcPr>
            <w:tcW w:w="938" w:type="pct"/>
            <w:gridSpan w:val="2"/>
            <w:shd w:val="clear" w:color="auto" w:fill="D8D8D8" w:themeFill="background1" w:themeFillShade="D9"/>
          </w:tcPr>
          <w:p w14:paraId="2744A072">
            <w:pPr>
              <w:spacing w:after="0" w:line="240" w:lineRule="auto"/>
              <w:jc w:val="center"/>
            </w:pPr>
            <w:r>
              <w:t>Séance 2</w:t>
            </w:r>
          </w:p>
        </w:tc>
        <w:tc>
          <w:tcPr>
            <w:tcW w:w="936" w:type="pct"/>
            <w:gridSpan w:val="2"/>
            <w:shd w:val="clear" w:color="auto" w:fill="D8D8D8" w:themeFill="background1" w:themeFillShade="D9"/>
          </w:tcPr>
          <w:p w14:paraId="51991C3A">
            <w:pPr>
              <w:spacing w:after="0" w:line="240" w:lineRule="auto"/>
              <w:jc w:val="center"/>
            </w:pPr>
            <w:r>
              <w:t>Séance 3</w:t>
            </w:r>
          </w:p>
        </w:tc>
      </w:tr>
      <w:tr w14:paraId="5CA30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vMerge w:val="continue"/>
            <w:shd w:val="clear" w:color="auto" w:fill="D8D8D8" w:themeFill="background1" w:themeFillShade="D9"/>
          </w:tcPr>
          <w:p w14:paraId="799112F6">
            <w:pPr>
              <w:spacing w:after="0" w:line="240" w:lineRule="auto"/>
              <w:jc w:val="center"/>
            </w:pPr>
          </w:p>
        </w:tc>
        <w:tc>
          <w:tcPr>
            <w:tcW w:w="892" w:type="pct"/>
            <w:vMerge w:val="continue"/>
            <w:shd w:val="clear" w:color="auto" w:fill="D8D8D8" w:themeFill="background1" w:themeFillShade="D9"/>
          </w:tcPr>
          <w:p w14:paraId="5B468686">
            <w:pPr>
              <w:spacing w:after="0" w:line="240" w:lineRule="auto"/>
            </w:pPr>
          </w:p>
        </w:tc>
        <w:tc>
          <w:tcPr>
            <w:tcW w:w="470" w:type="pct"/>
            <w:shd w:val="clear" w:color="auto" w:fill="D8D8D8" w:themeFill="background1" w:themeFillShade="D9"/>
            <w:vAlign w:val="center"/>
          </w:tcPr>
          <w:p w14:paraId="67AB0706">
            <w:pPr>
              <w:spacing w:after="0" w:line="240" w:lineRule="auto"/>
              <w:jc w:val="center"/>
            </w:pPr>
            <w:r>
              <w:t>jour</w:t>
            </w:r>
          </w:p>
        </w:tc>
        <w:tc>
          <w:tcPr>
            <w:tcW w:w="469" w:type="pct"/>
            <w:shd w:val="clear" w:color="auto" w:fill="D8D8D8" w:themeFill="background1" w:themeFillShade="D9"/>
            <w:vAlign w:val="center"/>
          </w:tcPr>
          <w:p w14:paraId="04415BA6">
            <w:pPr>
              <w:spacing w:after="0" w:line="240" w:lineRule="auto"/>
              <w:jc w:val="center"/>
            </w:pPr>
            <w:r>
              <w:t>heure</w:t>
            </w:r>
          </w:p>
        </w:tc>
        <w:tc>
          <w:tcPr>
            <w:tcW w:w="469" w:type="pct"/>
            <w:shd w:val="clear" w:color="auto" w:fill="D8D8D8" w:themeFill="background1" w:themeFillShade="D9"/>
            <w:vAlign w:val="center"/>
          </w:tcPr>
          <w:p w14:paraId="6E6B26DF">
            <w:pPr>
              <w:spacing w:after="0" w:line="240" w:lineRule="auto"/>
              <w:jc w:val="center"/>
            </w:pPr>
            <w:r>
              <w:t>jour</w:t>
            </w:r>
          </w:p>
        </w:tc>
        <w:tc>
          <w:tcPr>
            <w:tcW w:w="469" w:type="pct"/>
            <w:shd w:val="clear" w:color="auto" w:fill="D8D8D8" w:themeFill="background1" w:themeFillShade="D9"/>
            <w:vAlign w:val="center"/>
          </w:tcPr>
          <w:p w14:paraId="1D283B46">
            <w:pPr>
              <w:spacing w:after="0" w:line="240" w:lineRule="auto"/>
              <w:jc w:val="center"/>
            </w:pPr>
            <w:r>
              <w:t>heure</w:t>
            </w:r>
          </w:p>
        </w:tc>
        <w:tc>
          <w:tcPr>
            <w:tcW w:w="470" w:type="pct"/>
            <w:shd w:val="clear" w:color="auto" w:fill="D8D8D8" w:themeFill="background1" w:themeFillShade="D9"/>
            <w:vAlign w:val="center"/>
          </w:tcPr>
          <w:p w14:paraId="7EDA02DC">
            <w:pPr>
              <w:spacing w:after="0" w:line="240" w:lineRule="auto"/>
              <w:jc w:val="center"/>
            </w:pPr>
            <w:r>
              <w:t>jour</w:t>
            </w:r>
          </w:p>
        </w:tc>
        <w:tc>
          <w:tcPr>
            <w:tcW w:w="466" w:type="pct"/>
            <w:shd w:val="clear" w:color="auto" w:fill="D8D8D8" w:themeFill="background1" w:themeFillShade="D9"/>
            <w:vAlign w:val="center"/>
          </w:tcPr>
          <w:p w14:paraId="2099FCC8">
            <w:pPr>
              <w:spacing w:after="0" w:line="240" w:lineRule="auto"/>
              <w:jc w:val="center"/>
            </w:pPr>
            <w:r>
              <w:t>heure</w:t>
            </w:r>
          </w:p>
        </w:tc>
      </w:tr>
      <w:tr w14:paraId="420B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tcPr>
          <w:p w14:paraId="061A759A">
            <w:pPr>
              <w:spacing w:after="0" w:line="240" w:lineRule="auto"/>
            </w:pPr>
            <w:r>
              <w:fldChar w:fldCharType="begin">
                <w:ffData>
                  <w:enabled/>
                  <w:calcOnExit w:val="0"/>
                  <w:textInput>
                    <w:maxLength w:val="18"/>
                    <w:format w:val="第一个字母大写"/>
                  </w:textInput>
                </w:ffData>
              </w:fldChar>
            </w:r>
            <w:r>
              <w:instrText xml:space="preserve"> FORMTEXT </w:instrText>
            </w:r>
            <w:r>
              <w:fldChar w:fldCharType="separate"/>
            </w:r>
            <w:r>
              <w:t>     </w:t>
            </w:r>
            <w:r>
              <w:fldChar w:fldCharType="end"/>
            </w:r>
          </w:p>
        </w:tc>
        <w:tc>
          <w:tcPr>
            <w:tcW w:w="892" w:type="pct"/>
          </w:tcPr>
          <w:p w14:paraId="1B9A513F">
            <w:pPr>
              <w:spacing w:after="0" w:line="240" w:lineRule="auto"/>
            </w:pPr>
            <w:r>
              <w:fldChar w:fldCharType="begin">
                <w:ffData>
                  <w:name w:val="Texte21"/>
                  <w:enabled/>
                  <w:calcOnExit w:val="0"/>
                  <w:textInput>
                    <w:maxLength w:val="10"/>
                  </w:textInput>
                </w:ffData>
              </w:fldChar>
            </w:r>
            <w:r>
              <w:instrText xml:space="preserve"> FORMTEXT </w:instrText>
            </w:r>
            <w:r>
              <w:fldChar w:fldCharType="separate"/>
            </w:r>
            <w:r>
              <w:t>     </w:t>
            </w:r>
            <w:r>
              <w:fldChar w:fldCharType="end"/>
            </w:r>
          </w:p>
        </w:tc>
        <w:tc>
          <w:tcPr>
            <w:tcW w:w="470" w:type="pct"/>
          </w:tcPr>
          <w:p w14:paraId="5C8B0347">
            <w:pPr>
              <w:spacing w:after="0" w:line="240" w:lineRule="auto"/>
            </w:pPr>
            <w:r>
              <w:fldChar w:fldCharType="begin">
                <w:ffData>
                  <w:enabled/>
                  <w:calcOnExit w:val="0"/>
                  <w:textInput>
                    <w:maxLength w:val="5"/>
                  </w:textInput>
                </w:ffData>
              </w:fldChar>
            </w:r>
            <w:r>
              <w:instrText xml:space="preserve"> FORMTEXT </w:instrText>
            </w:r>
            <w:r>
              <w:fldChar w:fldCharType="separate"/>
            </w:r>
            <w:r>
              <w:t>     </w:t>
            </w:r>
            <w:r>
              <w:fldChar w:fldCharType="end"/>
            </w:r>
          </w:p>
        </w:tc>
        <w:tc>
          <w:tcPr>
            <w:tcW w:w="469" w:type="pct"/>
          </w:tcPr>
          <w:p w14:paraId="1A1CC306">
            <w:pPr>
              <w:spacing w:after="0" w:line="240" w:lineRule="auto"/>
            </w:pPr>
            <w:r>
              <w:fldChar w:fldCharType="begin">
                <w:ffData>
                  <w:name w:val="Texte35"/>
                  <w:enabled/>
                  <w:calcOnExit w:val="0"/>
                  <w:textInput>
                    <w:maxLength w:val="5"/>
                  </w:textInput>
                </w:ffData>
              </w:fldChar>
            </w:r>
            <w:bookmarkStart w:id="2" w:name="Texte35"/>
            <w:r>
              <w:instrText xml:space="preserve"> FORMTEXT </w:instrText>
            </w:r>
            <w:r>
              <w:fldChar w:fldCharType="separate"/>
            </w:r>
            <w:r>
              <w:t>     </w:t>
            </w:r>
            <w:r>
              <w:fldChar w:fldCharType="end"/>
            </w:r>
            <w:bookmarkEnd w:id="2"/>
          </w:p>
        </w:tc>
        <w:tc>
          <w:tcPr>
            <w:tcW w:w="469" w:type="pct"/>
          </w:tcPr>
          <w:p w14:paraId="7DCFD434">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5091E8E8">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70" w:type="pct"/>
          </w:tcPr>
          <w:p w14:paraId="7E79D65A">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6" w:type="pct"/>
          </w:tcPr>
          <w:p w14:paraId="72BAA701">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r>
      <w:tr w14:paraId="23B86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tcPr>
          <w:p w14:paraId="5E38FFD4">
            <w:pPr>
              <w:spacing w:after="0" w:line="240" w:lineRule="auto"/>
            </w:pPr>
            <w:r>
              <w:fldChar w:fldCharType="begin">
                <w:ffData>
                  <w:enabled/>
                  <w:calcOnExit w:val="0"/>
                  <w:textInput>
                    <w:maxLength w:val="18"/>
                    <w:format w:val="第一个字母大写"/>
                  </w:textInput>
                </w:ffData>
              </w:fldChar>
            </w:r>
            <w:r>
              <w:instrText xml:space="preserve"> FORMTEXT </w:instrText>
            </w:r>
            <w:r>
              <w:fldChar w:fldCharType="separate"/>
            </w:r>
            <w:r>
              <w:t>     </w:t>
            </w:r>
            <w:r>
              <w:fldChar w:fldCharType="end"/>
            </w:r>
          </w:p>
        </w:tc>
        <w:tc>
          <w:tcPr>
            <w:tcW w:w="892" w:type="pct"/>
          </w:tcPr>
          <w:p w14:paraId="7541582F">
            <w:pPr>
              <w:spacing w:after="0" w:line="240" w:lineRule="auto"/>
            </w:pPr>
            <w:r>
              <w:fldChar w:fldCharType="begin">
                <w:ffData>
                  <w:name w:val="Texte21"/>
                  <w:enabled/>
                  <w:calcOnExit w:val="0"/>
                  <w:textInput>
                    <w:maxLength w:val="10"/>
                  </w:textInput>
                </w:ffData>
              </w:fldChar>
            </w:r>
            <w:r>
              <w:instrText xml:space="preserve"> FORMTEXT </w:instrText>
            </w:r>
            <w:r>
              <w:fldChar w:fldCharType="separate"/>
            </w:r>
            <w:r>
              <w:t>     </w:t>
            </w:r>
            <w:r>
              <w:fldChar w:fldCharType="end"/>
            </w:r>
          </w:p>
        </w:tc>
        <w:tc>
          <w:tcPr>
            <w:tcW w:w="470" w:type="pct"/>
          </w:tcPr>
          <w:p w14:paraId="142B0E1F">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0DF4AE33">
            <w:pPr>
              <w:spacing w:after="0" w:line="240" w:lineRule="auto"/>
            </w:pPr>
            <w:r>
              <w:fldChar w:fldCharType="begin">
                <w:ffData>
                  <w:enabled/>
                  <w:calcOnExit w:val="0"/>
                  <w:textInput>
                    <w:maxLength w:val="5"/>
                  </w:textInput>
                </w:ffData>
              </w:fldChar>
            </w:r>
            <w:r>
              <w:instrText xml:space="preserve"> FORMTEXT </w:instrText>
            </w:r>
            <w:r>
              <w:fldChar w:fldCharType="separate"/>
            </w:r>
            <w:r>
              <w:t>     </w:t>
            </w:r>
            <w:r>
              <w:fldChar w:fldCharType="end"/>
            </w:r>
          </w:p>
        </w:tc>
        <w:tc>
          <w:tcPr>
            <w:tcW w:w="469" w:type="pct"/>
          </w:tcPr>
          <w:p w14:paraId="1BFD4138">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4A1FDE12">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70" w:type="pct"/>
          </w:tcPr>
          <w:p w14:paraId="31B0950E">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6" w:type="pct"/>
          </w:tcPr>
          <w:p w14:paraId="69A365F2">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r>
      <w:tr w14:paraId="679E0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tcPr>
          <w:p w14:paraId="1AE97E1B">
            <w:pPr>
              <w:spacing w:after="0" w:line="240" w:lineRule="auto"/>
            </w:pPr>
            <w:r>
              <w:fldChar w:fldCharType="begin">
                <w:ffData>
                  <w:enabled/>
                  <w:calcOnExit w:val="0"/>
                  <w:textInput>
                    <w:maxLength w:val="18"/>
                    <w:format w:val="第一个字母大写"/>
                  </w:textInput>
                </w:ffData>
              </w:fldChar>
            </w:r>
            <w:r>
              <w:instrText xml:space="preserve"> FORMTEXT </w:instrText>
            </w:r>
            <w:r>
              <w:fldChar w:fldCharType="separate"/>
            </w:r>
            <w:r>
              <w:t>     </w:t>
            </w:r>
            <w:r>
              <w:fldChar w:fldCharType="end"/>
            </w:r>
          </w:p>
        </w:tc>
        <w:tc>
          <w:tcPr>
            <w:tcW w:w="892" w:type="pct"/>
          </w:tcPr>
          <w:p w14:paraId="34B54CFF">
            <w:pPr>
              <w:spacing w:after="0" w:line="240" w:lineRule="auto"/>
            </w:pPr>
            <w:r>
              <w:fldChar w:fldCharType="begin">
                <w:ffData>
                  <w:name w:val="Texte21"/>
                  <w:enabled/>
                  <w:calcOnExit w:val="0"/>
                  <w:textInput>
                    <w:maxLength w:val="10"/>
                  </w:textInput>
                </w:ffData>
              </w:fldChar>
            </w:r>
            <w:r>
              <w:instrText xml:space="preserve"> FORMTEXT </w:instrText>
            </w:r>
            <w:r>
              <w:fldChar w:fldCharType="separate"/>
            </w:r>
            <w:r>
              <w:t>     </w:t>
            </w:r>
            <w:r>
              <w:fldChar w:fldCharType="end"/>
            </w:r>
          </w:p>
        </w:tc>
        <w:tc>
          <w:tcPr>
            <w:tcW w:w="470" w:type="pct"/>
          </w:tcPr>
          <w:p w14:paraId="708E5065">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3B4A0A16">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69" w:type="pct"/>
          </w:tcPr>
          <w:p w14:paraId="19AF2C9A">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6A64BE19">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70" w:type="pct"/>
          </w:tcPr>
          <w:p w14:paraId="7FC8BCC5">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6" w:type="pct"/>
          </w:tcPr>
          <w:p w14:paraId="669A49F2">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r>
      <w:tr w14:paraId="5F20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tcPr>
          <w:p w14:paraId="2B837204">
            <w:pPr>
              <w:spacing w:after="0" w:line="240" w:lineRule="auto"/>
            </w:pPr>
            <w:r>
              <w:fldChar w:fldCharType="begin">
                <w:ffData>
                  <w:enabled/>
                  <w:calcOnExit w:val="0"/>
                  <w:textInput>
                    <w:maxLength w:val="18"/>
                    <w:format w:val="第一个字母大写"/>
                  </w:textInput>
                </w:ffData>
              </w:fldChar>
            </w:r>
            <w:r>
              <w:instrText xml:space="preserve"> FORMTEXT </w:instrText>
            </w:r>
            <w:r>
              <w:fldChar w:fldCharType="separate"/>
            </w:r>
            <w:r>
              <w:t>     </w:t>
            </w:r>
            <w:r>
              <w:fldChar w:fldCharType="end"/>
            </w:r>
          </w:p>
        </w:tc>
        <w:tc>
          <w:tcPr>
            <w:tcW w:w="892" w:type="pct"/>
          </w:tcPr>
          <w:p w14:paraId="6E8B009B">
            <w:pPr>
              <w:spacing w:after="0" w:line="240" w:lineRule="auto"/>
            </w:pPr>
            <w:r>
              <w:fldChar w:fldCharType="begin">
                <w:ffData>
                  <w:name w:val="Texte21"/>
                  <w:enabled/>
                  <w:calcOnExit w:val="0"/>
                  <w:textInput>
                    <w:maxLength w:val="10"/>
                  </w:textInput>
                </w:ffData>
              </w:fldChar>
            </w:r>
            <w:r>
              <w:instrText xml:space="preserve"> FORMTEXT </w:instrText>
            </w:r>
            <w:r>
              <w:fldChar w:fldCharType="separate"/>
            </w:r>
            <w:r>
              <w:t>     </w:t>
            </w:r>
            <w:r>
              <w:fldChar w:fldCharType="end"/>
            </w:r>
          </w:p>
        </w:tc>
        <w:tc>
          <w:tcPr>
            <w:tcW w:w="470" w:type="pct"/>
          </w:tcPr>
          <w:p w14:paraId="60CCAA6F">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4FD29439">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69" w:type="pct"/>
          </w:tcPr>
          <w:p w14:paraId="0A62EF0E">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609A9C4A">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70" w:type="pct"/>
          </w:tcPr>
          <w:p w14:paraId="37F7CAC0">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6" w:type="pct"/>
          </w:tcPr>
          <w:p w14:paraId="109C89C0">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r>
      <w:tr w14:paraId="56072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tcPr>
          <w:p w14:paraId="483A03FB">
            <w:pPr>
              <w:spacing w:after="0" w:line="240" w:lineRule="auto"/>
            </w:pPr>
            <w:r>
              <w:fldChar w:fldCharType="begin">
                <w:ffData>
                  <w:enabled/>
                  <w:calcOnExit w:val="0"/>
                  <w:textInput>
                    <w:maxLength w:val="18"/>
                    <w:format w:val="第一个字母大写"/>
                  </w:textInput>
                </w:ffData>
              </w:fldChar>
            </w:r>
            <w:r>
              <w:instrText xml:space="preserve"> FORMTEXT </w:instrText>
            </w:r>
            <w:r>
              <w:fldChar w:fldCharType="separate"/>
            </w:r>
            <w:r>
              <w:t>     </w:t>
            </w:r>
            <w:r>
              <w:fldChar w:fldCharType="end"/>
            </w:r>
          </w:p>
        </w:tc>
        <w:tc>
          <w:tcPr>
            <w:tcW w:w="892" w:type="pct"/>
          </w:tcPr>
          <w:p w14:paraId="62F66EEA">
            <w:pPr>
              <w:spacing w:after="0" w:line="240" w:lineRule="auto"/>
            </w:pPr>
            <w:r>
              <w:fldChar w:fldCharType="begin">
                <w:ffData>
                  <w:name w:val="Texte21"/>
                  <w:enabled/>
                  <w:calcOnExit w:val="0"/>
                  <w:textInput>
                    <w:maxLength w:val="10"/>
                  </w:textInput>
                </w:ffData>
              </w:fldChar>
            </w:r>
            <w:r>
              <w:instrText xml:space="preserve"> FORMTEXT </w:instrText>
            </w:r>
            <w:r>
              <w:fldChar w:fldCharType="separate"/>
            </w:r>
            <w:r>
              <w:t>     </w:t>
            </w:r>
            <w:r>
              <w:fldChar w:fldCharType="end"/>
            </w:r>
          </w:p>
        </w:tc>
        <w:tc>
          <w:tcPr>
            <w:tcW w:w="470" w:type="pct"/>
          </w:tcPr>
          <w:p w14:paraId="328FA11A">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4C94BCA4">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69" w:type="pct"/>
          </w:tcPr>
          <w:p w14:paraId="49A0BB4E">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63434B5A">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70" w:type="pct"/>
          </w:tcPr>
          <w:p w14:paraId="2F43C9D6">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6" w:type="pct"/>
          </w:tcPr>
          <w:p w14:paraId="7686619D">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r>
      <w:tr w14:paraId="3C0A7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5" w:type="pct"/>
          </w:tcPr>
          <w:p w14:paraId="6F65C4F8">
            <w:pPr>
              <w:spacing w:after="0" w:line="240" w:lineRule="auto"/>
            </w:pPr>
            <w:r>
              <w:fldChar w:fldCharType="begin">
                <w:ffData>
                  <w:enabled/>
                  <w:calcOnExit w:val="0"/>
                  <w:textInput>
                    <w:maxLength w:val="18"/>
                    <w:format w:val="第一个字母大写"/>
                  </w:textInput>
                </w:ffData>
              </w:fldChar>
            </w:r>
            <w:r>
              <w:instrText xml:space="preserve"> FORMTEXT </w:instrText>
            </w:r>
            <w:r>
              <w:fldChar w:fldCharType="separate"/>
            </w:r>
            <w:r>
              <w:t>     </w:t>
            </w:r>
            <w:r>
              <w:fldChar w:fldCharType="end"/>
            </w:r>
          </w:p>
        </w:tc>
        <w:tc>
          <w:tcPr>
            <w:tcW w:w="892" w:type="pct"/>
          </w:tcPr>
          <w:p w14:paraId="206D616D">
            <w:pPr>
              <w:spacing w:after="0" w:line="240" w:lineRule="auto"/>
            </w:pPr>
            <w:r>
              <w:fldChar w:fldCharType="begin">
                <w:ffData>
                  <w:name w:val="Texte21"/>
                  <w:enabled/>
                  <w:calcOnExit w:val="0"/>
                  <w:textInput>
                    <w:maxLength w:val="10"/>
                  </w:textInput>
                </w:ffData>
              </w:fldChar>
            </w:r>
            <w:r>
              <w:instrText xml:space="preserve"> FORMTEXT </w:instrText>
            </w:r>
            <w:r>
              <w:fldChar w:fldCharType="separate"/>
            </w:r>
            <w:r>
              <w:t>     </w:t>
            </w:r>
            <w:r>
              <w:fldChar w:fldCharType="end"/>
            </w:r>
          </w:p>
        </w:tc>
        <w:tc>
          <w:tcPr>
            <w:tcW w:w="470" w:type="pct"/>
          </w:tcPr>
          <w:p w14:paraId="10816DA3">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0B441FC6">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69" w:type="pct"/>
          </w:tcPr>
          <w:p w14:paraId="64962112">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9" w:type="pct"/>
          </w:tcPr>
          <w:p w14:paraId="17F701B5">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c>
          <w:tcPr>
            <w:tcW w:w="470" w:type="pct"/>
          </w:tcPr>
          <w:p w14:paraId="1965BFE9">
            <w:pPr>
              <w:spacing w:after="0" w:line="240" w:lineRule="auto"/>
            </w:pPr>
            <w:r>
              <w:fldChar w:fldCharType="begin">
                <w:ffData>
                  <w:name w:val="Texte22"/>
                  <w:enabled/>
                  <w:calcOnExit w:val="0"/>
                  <w:textInput>
                    <w:maxLength w:val="5"/>
                  </w:textInput>
                </w:ffData>
              </w:fldChar>
            </w:r>
            <w:r>
              <w:instrText xml:space="preserve"> FORMTEXT </w:instrText>
            </w:r>
            <w:r>
              <w:fldChar w:fldCharType="separate"/>
            </w:r>
            <w:r>
              <w:t>     </w:t>
            </w:r>
            <w:r>
              <w:fldChar w:fldCharType="end"/>
            </w:r>
          </w:p>
        </w:tc>
        <w:tc>
          <w:tcPr>
            <w:tcW w:w="466" w:type="pct"/>
          </w:tcPr>
          <w:p w14:paraId="61CA65D6">
            <w:pPr>
              <w:spacing w:after="0" w:line="240" w:lineRule="auto"/>
            </w:pPr>
            <w:r>
              <w:fldChar w:fldCharType="begin">
                <w:ffData>
                  <w:name w:val="Texte23"/>
                  <w:enabled/>
                  <w:calcOnExit w:val="0"/>
                  <w:textInput>
                    <w:maxLength w:val="5"/>
                  </w:textInput>
                </w:ffData>
              </w:fldChar>
            </w:r>
            <w:r>
              <w:instrText xml:space="preserve"> FORMTEXT </w:instrText>
            </w:r>
            <w:r>
              <w:fldChar w:fldCharType="separate"/>
            </w:r>
            <w:r>
              <w:t>     </w:t>
            </w:r>
            <w:r>
              <w:fldChar w:fldCharType="end"/>
            </w:r>
          </w:p>
        </w:tc>
      </w:tr>
    </w:tbl>
    <w:p w14:paraId="364BD250"/>
    <w:p w14:paraId="28735CAD"/>
    <w:p w14:paraId="034A5EFC"/>
    <w:p w14:paraId="6DB5F63B"/>
    <w:p w14:paraId="31442201"/>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513"/>
      </w:tblGrid>
      <w:tr w14:paraId="63F0C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2"/>
            <w:shd w:val="clear" w:color="auto" w:fill="F1F1F1" w:themeFill="background1" w:themeFillShade="F2"/>
          </w:tcPr>
          <w:p w14:paraId="514B0A81">
            <w:pPr>
              <w:spacing w:after="0" w:line="240" w:lineRule="auto"/>
              <w:jc w:val="center"/>
              <w:rPr>
                <w:b/>
                <w:bCs/>
              </w:rPr>
            </w:pPr>
            <w:r>
              <w:rPr>
                <w:b/>
                <w:bCs/>
              </w:rPr>
              <w:t>DESCRIPTIF DU COURS</w:t>
            </w:r>
          </w:p>
        </w:tc>
      </w:tr>
      <w:tr w14:paraId="53FC5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0FFF42E8">
            <w:pPr>
              <w:spacing w:after="0" w:line="240" w:lineRule="auto"/>
            </w:pPr>
            <w:r>
              <w:t>Objectif</w:t>
            </w:r>
          </w:p>
        </w:tc>
        <w:tc>
          <w:tcPr>
            <w:tcW w:w="6513" w:type="dxa"/>
          </w:tcPr>
          <w:p w14:paraId="09C7B6C6">
            <w:pPr>
              <w:pStyle w:val="9"/>
              <w:keepNext w:val="0"/>
              <w:keepLines w:val="0"/>
              <w:widowControl/>
              <w:numPr>
                <w:ilvl w:val="0"/>
                <w:numId w:val="4"/>
              </w:numPr>
              <w:suppressLineNumbers w:val="0"/>
              <w:spacing w:before="0" w:beforeAutospacing="0" w:line="15" w:lineRule="atLeast"/>
              <w:ind w:left="420" w:leftChars="0" w:right="0" w:rightChars="0" w:hanging="420" w:firstLineChars="0"/>
              <w:jc w:val="both"/>
            </w:pPr>
            <w:r>
              <w:rPr>
                <w:rFonts w:hint="default"/>
              </w:rPr>
              <w:t>Comprendre les concepts fondamentaux de la virologie : Acquérir une connaissance approfondie des concepts de base en virologie, y compris la structure virale, la classification des virus et les cycles de vie viraux.</w:t>
            </w:r>
          </w:p>
          <w:p w14:paraId="0E2B3288">
            <w:pPr>
              <w:pStyle w:val="9"/>
              <w:keepNext w:val="0"/>
              <w:keepLines w:val="0"/>
              <w:widowControl/>
              <w:numPr>
                <w:ilvl w:val="0"/>
                <w:numId w:val="4"/>
              </w:numPr>
              <w:suppressLineNumbers w:val="0"/>
              <w:spacing w:before="0" w:beforeAutospacing="0" w:line="15" w:lineRule="atLeast"/>
              <w:ind w:left="420" w:leftChars="0" w:right="0" w:rightChars="0" w:hanging="420" w:firstLineChars="0"/>
              <w:jc w:val="both"/>
            </w:pPr>
            <w:r>
              <w:rPr>
                <w:rFonts w:hint="default"/>
              </w:rPr>
              <w:t>Analyse des mécanismes moléculaires de l'infection virale : Examiner les mécanismes moléculaires qui sous-tendent la fixation des virus, l'entrée dans la cellule hôte, la réplication et la libération de nouveaux virions.</w:t>
            </w:r>
          </w:p>
          <w:p w14:paraId="52B0EA21">
            <w:pPr>
              <w:pStyle w:val="9"/>
              <w:keepNext w:val="0"/>
              <w:keepLines w:val="0"/>
              <w:widowControl/>
              <w:numPr>
                <w:ilvl w:val="0"/>
                <w:numId w:val="4"/>
              </w:numPr>
              <w:suppressLineNumbers w:val="0"/>
              <w:spacing w:before="0" w:beforeAutospacing="0" w:line="15" w:lineRule="atLeast"/>
              <w:ind w:left="420" w:leftChars="0" w:right="0" w:rightChars="0" w:hanging="420" w:firstLineChars="0"/>
              <w:jc w:val="both"/>
            </w:pPr>
            <w:r>
              <w:rPr>
                <w:rFonts w:hint="default"/>
              </w:rPr>
              <w:t>Interactions virus-hôte : Comprendre les interactions complexes entre les virus et leurs hôtes, y compris les réponses immunitaires, les mécanismes d'échappement immunitaire et l'évolution virale.</w:t>
            </w:r>
          </w:p>
          <w:p w14:paraId="2F20BA45">
            <w:pPr>
              <w:pStyle w:val="9"/>
              <w:keepNext w:val="0"/>
              <w:keepLines w:val="0"/>
              <w:widowControl/>
              <w:numPr>
                <w:ilvl w:val="0"/>
                <w:numId w:val="4"/>
              </w:numPr>
              <w:suppressLineNumbers w:val="0"/>
              <w:spacing w:before="0" w:beforeAutospacing="0" w:line="15" w:lineRule="atLeast"/>
              <w:ind w:left="420" w:leftChars="0" w:right="0" w:rightChars="0" w:hanging="420" w:firstLineChars="0"/>
              <w:jc w:val="both"/>
            </w:pPr>
            <w:r>
              <w:rPr>
                <w:rFonts w:hint="default"/>
              </w:rPr>
              <w:t>Techniques de diagnostic : Se familiariser avec les techniques de diagnostic utilisées en virologie moléculaire, telles que la PCR (réaction en chaîne par polymérase), le séquençage génétique et d'autres méthodes de détection des agents viraux.</w:t>
            </w:r>
          </w:p>
          <w:p w14:paraId="0A8FD4C6">
            <w:pPr>
              <w:pStyle w:val="9"/>
              <w:keepNext w:val="0"/>
              <w:keepLines w:val="0"/>
              <w:widowControl/>
              <w:numPr>
                <w:ilvl w:val="0"/>
                <w:numId w:val="4"/>
              </w:numPr>
              <w:suppressLineNumbers w:val="0"/>
              <w:spacing w:before="0" w:beforeAutospacing="0" w:line="15" w:lineRule="atLeast"/>
              <w:ind w:left="420" w:leftChars="0" w:right="0" w:rightChars="0" w:hanging="420" w:firstLineChars="0"/>
              <w:jc w:val="both"/>
            </w:pPr>
            <w:r>
              <w:rPr>
                <w:rFonts w:hint="default"/>
              </w:rPr>
              <w:t>Applications pratiques : Explorer les applications pratiques de la virologie moléculaire dans la recherche biomédicale, le diagnostic des maladies virales et le développement de vaccins antiviraux.</w:t>
            </w:r>
          </w:p>
          <w:p w14:paraId="11081CDA">
            <w:pPr>
              <w:pStyle w:val="9"/>
              <w:keepNext w:val="0"/>
              <w:keepLines w:val="0"/>
              <w:widowControl/>
              <w:numPr>
                <w:ilvl w:val="0"/>
                <w:numId w:val="4"/>
              </w:numPr>
              <w:suppressLineNumbers w:val="0"/>
              <w:spacing w:before="0" w:beforeAutospacing="0" w:line="15" w:lineRule="atLeast"/>
              <w:ind w:left="420" w:leftChars="0" w:right="0" w:rightChars="0" w:hanging="420" w:firstLineChars="0"/>
              <w:jc w:val="both"/>
            </w:pPr>
            <w:r>
              <w:rPr>
                <w:rFonts w:hint="default"/>
              </w:rPr>
              <w:t>Études de cas : Analyser des études de cas spécifiques de maladies virales pour illustrer comment les principes de la virologie moléculaire sont appliqués à la compréhension et à la gestion des infections virales.</w:t>
            </w:r>
          </w:p>
          <w:p w14:paraId="0214BE98">
            <w:pPr>
              <w:pStyle w:val="9"/>
              <w:keepNext w:val="0"/>
              <w:keepLines w:val="0"/>
              <w:widowControl/>
              <w:numPr>
                <w:ilvl w:val="0"/>
                <w:numId w:val="4"/>
              </w:numPr>
              <w:suppressLineNumbers w:val="0"/>
              <w:spacing w:before="0" w:beforeAutospacing="0" w:line="15" w:lineRule="atLeast"/>
              <w:ind w:left="420" w:leftChars="0" w:right="0" w:rightChars="0" w:hanging="420" w:firstLineChars="0"/>
              <w:jc w:val="both"/>
            </w:pPr>
            <w:r>
              <w:rPr>
                <w:rFonts w:hint="default"/>
              </w:rPr>
              <w:t>Éthique et sécurité en virologie : Sensibiliser aux questions éthiques liées à la recherche en virologie, en particulier concernant la manipulation de virus potentiellement dangereux, et comprendre les protocoles de sécurité appropriés.</w:t>
            </w:r>
          </w:p>
          <w:p w14:paraId="1200D2A9">
            <w:pPr>
              <w:pStyle w:val="9"/>
              <w:keepNext w:val="0"/>
              <w:keepLines w:val="0"/>
              <w:widowControl/>
              <w:numPr>
                <w:ilvl w:val="0"/>
                <w:numId w:val="4"/>
              </w:numPr>
              <w:suppressLineNumbers w:val="0"/>
              <w:spacing w:before="0" w:beforeAutospacing="0" w:line="15" w:lineRule="atLeast"/>
              <w:ind w:left="420" w:leftChars="0" w:right="0" w:rightChars="0" w:hanging="420" w:firstLineChars="0"/>
              <w:jc w:val="both"/>
            </w:pPr>
            <w:r>
              <w:rPr>
                <w:rFonts w:hint="default"/>
              </w:rPr>
              <w:t>Actualités et avancées en virologie : Être au courant des dernières avancées dans le domaine de la virologie, y compris les nouvelles découvertes, les traitements émergents et les progrès technologiques.</w:t>
            </w:r>
          </w:p>
        </w:tc>
      </w:tr>
      <w:tr w14:paraId="47EE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4AFA6E21">
            <w:pPr>
              <w:spacing w:after="0" w:line="240" w:lineRule="auto"/>
            </w:pPr>
            <w:r>
              <w:t>Type Unité Enseignement</w:t>
            </w:r>
          </w:p>
        </w:tc>
        <w:tc>
          <w:tcPr>
            <w:tcW w:w="6513" w:type="dxa"/>
          </w:tcPr>
          <w:p w14:paraId="18228E93">
            <w:pPr>
              <w:spacing w:after="0" w:line="240" w:lineRule="auto"/>
              <w:jc w:val="both"/>
              <w:rPr>
                <w:rFonts w:hint="default"/>
              </w:rPr>
            </w:pPr>
            <w:r>
              <w:rPr>
                <w:rFonts w:hint="default"/>
              </w:rPr>
              <w:t xml:space="preserve">Type d'unité d'enseignement : Unité fondamentale : </w:t>
            </w:r>
          </w:p>
          <w:p w14:paraId="283546F9">
            <w:pPr>
              <w:spacing w:after="0" w:line="240" w:lineRule="auto"/>
              <w:jc w:val="both"/>
              <w:rPr>
                <w:rFonts w:hint="default"/>
              </w:rPr>
            </w:pPr>
            <w:r>
              <w:rPr>
                <w:rFonts w:hint="default"/>
              </w:rPr>
              <w:t>Cours magistral, TD et travail personnel</w:t>
            </w:r>
          </w:p>
          <w:p w14:paraId="318F536B">
            <w:pPr>
              <w:spacing w:after="0" w:line="240" w:lineRule="auto"/>
              <w:jc w:val="both"/>
              <w:rPr>
                <w:rFonts w:hint="default"/>
              </w:rPr>
            </w:pPr>
            <w:r>
              <w:rPr>
                <w:rFonts w:hint="default"/>
              </w:rPr>
              <w:t>Crédits de la matière : 6</w:t>
            </w:r>
          </w:p>
          <w:p w14:paraId="428EA675">
            <w:pPr>
              <w:spacing w:after="0" w:line="240" w:lineRule="auto"/>
              <w:jc w:val="both"/>
            </w:pPr>
            <w:r>
              <w:rPr>
                <w:rFonts w:hint="default"/>
              </w:rPr>
              <w:t>Coefficient de la matière</w:t>
            </w:r>
          </w:p>
        </w:tc>
      </w:tr>
      <w:tr w14:paraId="01284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42BA9259">
            <w:pPr>
              <w:spacing w:after="0" w:line="240" w:lineRule="auto"/>
            </w:pPr>
            <w:r>
              <w:t>Contenu succinct</w:t>
            </w:r>
          </w:p>
        </w:tc>
        <w:tc>
          <w:tcPr>
            <w:tcW w:w="6513" w:type="dxa"/>
          </w:tcPr>
          <w:p w14:paraId="434FA3CF">
            <w:pPr>
              <w:pStyle w:val="9"/>
              <w:keepNext w:val="0"/>
              <w:keepLines w:val="0"/>
              <w:widowControl/>
              <w:numPr>
                <w:ilvl w:val="0"/>
                <w:numId w:val="5"/>
              </w:numPr>
              <w:suppressLineNumbers w:val="0"/>
              <w:spacing w:before="0" w:beforeAutospacing="0" w:line="15" w:lineRule="atLeast"/>
              <w:ind w:left="420" w:leftChars="0" w:hanging="420" w:firstLineChars="0"/>
              <w:jc w:val="both"/>
              <w:rPr>
                <w:rFonts w:hint="default" w:asciiTheme="minorHAnsi" w:hAnsiTheme="minorHAnsi" w:eastAsiaTheme="minorHAnsi" w:cstheme="minorBidi"/>
                <w:kern w:val="0"/>
                <w:sz w:val="22"/>
                <w:szCs w:val="22"/>
                <w:lang w:val="fr-FR" w:eastAsia="en-US" w:bidi="ar-SA"/>
              </w:rPr>
            </w:pPr>
            <w:r>
              <w:rPr>
                <w:rFonts w:hint="default" w:asciiTheme="minorHAnsi" w:hAnsiTheme="minorHAnsi" w:eastAsiaTheme="minorHAnsi" w:cstheme="minorBidi"/>
                <w:kern w:val="0"/>
                <w:sz w:val="22"/>
                <w:szCs w:val="22"/>
                <w:lang w:val="fr-FR" w:eastAsia="en-US" w:bidi="ar-SA"/>
              </w:rPr>
              <w:t xml:space="preserve">Comprendre les concepts fondamentaux de la virologie : Acquérir une connaissance approfondie des concepts de base en virologie, y compris la structure virale, la classification des virus et les cycles de vie viraux. </w:t>
            </w:r>
          </w:p>
          <w:p w14:paraId="7D247D0C">
            <w:pPr>
              <w:pStyle w:val="9"/>
              <w:keepNext w:val="0"/>
              <w:keepLines w:val="0"/>
              <w:widowControl/>
              <w:numPr>
                <w:ilvl w:val="0"/>
                <w:numId w:val="5"/>
              </w:numPr>
              <w:suppressLineNumbers w:val="0"/>
              <w:spacing w:before="0" w:beforeAutospacing="0" w:line="15" w:lineRule="atLeast"/>
              <w:ind w:left="420" w:leftChars="0" w:hanging="420" w:firstLineChars="0"/>
              <w:jc w:val="both"/>
              <w:rPr>
                <w:rFonts w:hint="default" w:asciiTheme="minorHAnsi" w:hAnsiTheme="minorHAnsi" w:eastAsiaTheme="minorHAnsi" w:cstheme="minorBidi"/>
                <w:kern w:val="0"/>
                <w:sz w:val="22"/>
                <w:szCs w:val="22"/>
                <w:lang w:val="fr-FR" w:eastAsia="en-US" w:bidi="ar-SA"/>
              </w:rPr>
            </w:pPr>
            <w:r>
              <w:rPr>
                <w:rFonts w:hint="default" w:asciiTheme="minorHAnsi" w:hAnsiTheme="minorHAnsi" w:eastAsiaTheme="minorHAnsi" w:cstheme="minorBidi"/>
                <w:kern w:val="0"/>
                <w:sz w:val="22"/>
                <w:szCs w:val="22"/>
                <w:lang w:val="fr-FR" w:eastAsia="en-US" w:bidi="ar-SA"/>
              </w:rPr>
              <w:t>Analyse des mécanismes moléculaires de l'infection virale : Examiner les mécanismes moléculaires qui sous-tendent la fixation des virus, l'entrée dans la cellule hôte, la réplication et la libération de nouveaux virions.</w:t>
            </w:r>
          </w:p>
          <w:p w14:paraId="135AD2E5">
            <w:pPr>
              <w:pStyle w:val="9"/>
              <w:keepNext w:val="0"/>
              <w:keepLines w:val="0"/>
              <w:widowControl/>
              <w:numPr>
                <w:ilvl w:val="0"/>
                <w:numId w:val="5"/>
              </w:numPr>
              <w:suppressLineNumbers w:val="0"/>
              <w:spacing w:before="0" w:beforeAutospacing="0" w:line="15" w:lineRule="atLeast"/>
              <w:ind w:left="420" w:leftChars="0" w:hanging="420" w:firstLineChars="0"/>
              <w:jc w:val="both"/>
              <w:rPr>
                <w:rFonts w:hint="default" w:asciiTheme="minorHAnsi" w:hAnsiTheme="minorHAnsi" w:eastAsiaTheme="minorHAnsi" w:cstheme="minorBidi"/>
                <w:kern w:val="0"/>
                <w:sz w:val="22"/>
                <w:szCs w:val="22"/>
                <w:lang w:val="fr-FR" w:eastAsia="en-US" w:bidi="ar-SA"/>
              </w:rPr>
            </w:pPr>
            <w:r>
              <w:rPr>
                <w:rFonts w:hint="default" w:asciiTheme="minorHAnsi" w:hAnsiTheme="minorHAnsi" w:eastAsiaTheme="minorHAnsi" w:cstheme="minorBidi"/>
                <w:kern w:val="0"/>
                <w:sz w:val="22"/>
                <w:szCs w:val="22"/>
                <w:lang w:val="fr-FR" w:eastAsia="en-US" w:bidi="ar-SA"/>
              </w:rPr>
              <w:t>Interactions virus-hôte : Comprendre les interactions complexes entre les virus et leurs hôtes, y compris les réponses immunitaires, les mécanismes d'échappement immunitaire et l'évolution virale.</w:t>
            </w:r>
          </w:p>
          <w:p w14:paraId="65D4E42F">
            <w:pPr>
              <w:pStyle w:val="9"/>
              <w:keepNext w:val="0"/>
              <w:keepLines w:val="0"/>
              <w:widowControl/>
              <w:numPr>
                <w:ilvl w:val="0"/>
                <w:numId w:val="5"/>
              </w:numPr>
              <w:suppressLineNumbers w:val="0"/>
              <w:spacing w:before="0" w:beforeAutospacing="0" w:line="15" w:lineRule="atLeast"/>
              <w:ind w:left="420" w:leftChars="0" w:hanging="420" w:firstLineChars="0"/>
              <w:jc w:val="both"/>
              <w:rPr>
                <w:rFonts w:hint="default" w:asciiTheme="minorHAnsi" w:hAnsiTheme="minorHAnsi" w:eastAsiaTheme="minorHAnsi" w:cstheme="minorBidi"/>
                <w:kern w:val="0"/>
                <w:sz w:val="22"/>
                <w:szCs w:val="22"/>
                <w:lang w:val="fr-FR" w:eastAsia="en-US" w:bidi="ar-SA"/>
              </w:rPr>
            </w:pPr>
            <w:r>
              <w:rPr>
                <w:rFonts w:hint="default" w:asciiTheme="minorHAnsi" w:hAnsiTheme="minorHAnsi" w:eastAsiaTheme="minorHAnsi" w:cstheme="minorBidi"/>
                <w:kern w:val="0"/>
                <w:sz w:val="22"/>
                <w:szCs w:val="22"/>
                <w:lang w:val="fr-FR" w:eastAsia="en-US" w:bidi="ar-SA"/>
              </w:rPr>
              <w:t>Techniques de diagnostic : Se familiariser avec les techniques de diagnostic utilisées en virologie moléculaire, telles que la PCR (réaction en chaîne par polymérase), le séquençage génétique et d'autres méthodes de détection des agents viraux.</w:t>
            </w:r>
          </w:p>
          <w:p w14:paraId="27219ABA">
            <w:pPr>
              <w:pStyle w:val="9"/>
              <w:keepNext w:val="0"/>
              <w:keepLines w:val="0"/>
              <w:widowControl/>
              <w:numPr>
                <w:ilvl w:val="0"/>
                <w:numId w:val="5"/>
              </w:numPr>
              <w:suppressLineNumbers w:val="0"/>
              <w:spacing w:before="0" w:beforeAutospacing="0" w:line="15" w:lineRule="atLeast"/>
              <w:ind w:left="420" w:leftChars="0" w:hanging="420" w:firstLineChars="0"/>
              <w:jc w:val="both"/>
              <w:rPr>
                <w:rFonts w:hint="default" w:asciiTheme="minorHAnsi" w:hAnsiTheme="minorHAnsi" w:eastAsiaTheme="minorHAnsi" w:cstheme="minorBidi"/>
                <w:kern w:val="0"/>
                <w:sz w:val="22"/>
                <w:szCs w:val="22"/>
                <w:lang w:val="fr-FR" w:eastAsia="en-US" w:bidi="ar-SA"/>
              </w:rPr>
            </w:pPr>
            <w:r>
              <w:rPr>
                <w:rFonts w:hint="default" w:asciiTheme="minorHAnsi" w:hAnsiTheme="minorHAnsi" w:eastAsiaTheme="minorHAnsi" w:cstheme="minorBidi"/>
                <w:kern w:val="0"/>
                <w:sz w:val="22"/>
                <w:szCs w:val="22"/>
                <w:lang w:val="fr-FR" w:eastAsia="en-US" w:bidi="ar-SA"/>
              </w:rPr>
              <w:t xml:space="preserve">Applications pratiques : Explorer les applications pratiques de la virologie moléculaire dans la recherche biomédicale, le diagnostic des maladies virales et le développement de vaccins antiviraux. </w:t>
            </w:r>
          </w:p>
          <w:p w14:paraId="50409E21">
            <w:pPr>
              <w:pStyle w:val="9"/>
              <w:keepNext w:val="0"/>
              <w:keepLines w:val="0"/>
              <w:widowControl/>
              <w:numPr>
                <w:ilvl w:val="0"/>
                <w:numId w:val="5"/>
              </w:numPr>
              <w:suppressLineNumbers w:val="0"/>
              <w:spacing w:before="0" w:beforeAutospacing="0" w:line="15" w:lineRule="atLeast"/>
              <w:ind w:left="420" w:leftChars="0" w:hanging="420" w:firstLineChars="0"/>
              <w:jc w:val="both"/>
              <w:rPr>
                <w:rFonts w:hint="default" w:asciiTheme="minorHAnsi" w:hAnsiTheme="minorHAnsi" w:eastAsiaTheme="minorHAnsi" w:cstheme="minorBidi"/>
                <w:kern w:val="0"/>
                <w:sz w:val="22"/>
                <w:szCs w:val="22"/>
                <w:lang w:val="fr-FR" w:eastAsia="en-US" w:bidi="ar-SA"/>
              </w:rPr>
            </w:pPr>
            <w:r>
              <w:rPr>
                <w:rFonts w:hint="default" w:asciiTheme="minorHAnsi" w:hAnsiTheme="minorHAnsi" w:eastAsiaTheme="minorHAnsi" w:cstheme="minorBidi"/>
                <w:kern w:val="0"/>
                <w:sz w:val="22"/>
                <w:szCs w:val="22"/>
                <w:lang w:val="fr-FR" w:eastAsia="en-US" w:bidi="ar-SA"/>
              </w:rPr>
              <w:t>Études de cas : Analyser des études de cas spécifiques de maladies virales pour illustrer comment les principes de la virologie moléculaire sont appliqués à la compréhension et à la gestion des infections virales.</w:t>
            </w:r>
          </w:p>
          <w:p w14:paraId="286A41DA">
            <w:pPr>
              <w:pStyle w:val="9"/>
              <w:keepNext w:val="0"/>
              <w:keepLines w:val="0"/>
              <w:widowControl/>
              <w:numPr>
                <w:ilvl w:val="0"/>
                <w:numId w:val="5"/>
              </w:numPr>
              <w:suppressLineNumbers w:val="0"/>
              <w:spacing w:before="0" w:beforeAutospacing="0" w:line="15" w:lineRule="atLeast"/>
              <w:ind w:left="420" w:leftChars="0" w:hanging="420" w:firstLineChars="0"/>
              <w:jc w:val="both"/>
            </w:pPr>
            <w:r>
              <w:rPr>
                <w:rFonts w:hint="default" w:asciiTheme="minorHAnsi" w:hAnsiTheme="minorHAnsi" w:eastAsiaTheme="minorHAnsi" w:cstheme="minorBidi"/>
                <w:kern w:val="0"/>
                <w:sz w:val="22"/>
                <w:szCs w:val="22"/>
                <w:lang w:val="fr-FR" w:eastAsia="en-US" w:bidi="ar-SA"/>
              </w:rPr>
              <w:t>Éthique et sécurité en virologie : Sensibiliser aux questions éthiques liées à la recherche en virologie, en particulier concernant la manipulation de virus potentiellement dangereux, et comprendre les protocoles de sécurité appropriés.</w:t>
            </w:r>
          </w:p>
        </w:tc>
      </w:tr>
      <w:tr w14:paraId="21DE3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3AC1087E">
            <w:pPr>
              <w:spacing w:after="0" w:line="240" w:lineRule="auto"/>
            </w:pPr>
            <w:r>
              <w:t>Crédits de la matière</w:t>
            </w:r>
          </w:p>
        </w:tc>
        <w:tc>
          <w:tcPr>
            <w:tcW w:w="6513" w:type="dxa"/>
          </w:tcPr>
          <w:p w14:paraId="6B881C66">
            <w:pPr>
              <w:spacing w:after="0" w:line="240" w:lineRule="auto"/>
            </w:pPr>
            <w:r>
              <w:rPr>
                <w:rFonts w:asciiTheme="minorHAnsi" w:hAnsiTheme="minorHAnsi" w:eastAsiaTheme="minorHAnsi" w:cstheme="minorBidi"/>
                <w:sz w:val="22"/>
                <w:szCs w:val="22"/>
                <w:lang w:val="fr-FR" w:eastAsia="en-US" w:bidi="ar-SA"/>
              </w:rPr>
              <w:fldChar w:fldCharType="begin">
                <w:ffData>
                  <w:name w:val="Text1"/>
                  <w:enabled/>
                  <w:calcOnExit w:val="0"/>
                  <w:textInput>
                    <w:default w:val="6"/>
                    <w:maxLength w:val="50"/>
                  </w:textInput>
                </w:ffData>
              </w:fldChar>
            </w:r>
            <w:r>
              <w:rPr>
                <w:rFonts w:asciiTheme="minorHAnsi" w:hAnsiTheme="minorHAnsi" w:eastAsiaTheme="minorHAnsi" w:cstheme="minorBidi"/>
                <w:sz w:val="22"/>
                <w:szCs w:val="22"/>
                <w:lang w:val="fr-FR" w:eastAsia="en-US" w:bidi="ar-SA"/>
              </w:rPr>
              <w:instrText xml:space="preserve">FORMTEXT</w:instrText>
            </w:r>
            <w:r>
              <w:rPr>
                <w:rFonts w:asciiTheme="minorHAnsi" w:hAnsiTheme="minorHAnsi" w:eastAsiaTheme="minorHAnsi" w:cstheme="minorBidi"/>
                <w:sz w:val="22"/>
                <w:szCs w:val="22"/>
                <w:lang w:val="fr-FR" w:eastAsia="en-US" w:bidi="ar-SA"/>
              </w:rPr>
              <w:fldChar w:fldCharType="separate"/>
            </w:r>
            <w:r>
              <w:rPr>
                <w:rFonts w:asciiTheme="minorHAnsi" w:hAnsiTheme="minorHAnsi" w:eastAsiaTheme="minorHAnsi" w:cstheme="minorBidi"/>
                <w:sz w:val="22"/>
                <w:szCs w:val="22"/>
                <w:lang w:val="fr-FR" w:eastAsia="en-US" w:bidi="ar-SA"/>
              </w:rPr>
              <w:t>6</w:t>
            </w:r>
            <w:r>
              <w:rPr>
                <w:rFonts w:asciiTheme="minorHAnsi" w:hAnsiTheme="minorHAnsi" w:eastAsiaTheme="minorHAnsi" w:cstheme="minorBidi"/>
                <w:sz w:val="22"/>
                <w:szCs w:val="22"/>
                <w:lang w:val="fr-FR" w:eastAsia="en-US" w:bidi="ar-SA"/>
              </w:rPr>
              <w:fldChar w:fldCharType="end"/>
            </w:r>
          </w:p>
        </w:tc>
      </w:tr>
      <w:tr w14:paraId="7F6E3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339034E6">
            <w:pPr>
              <w:spacing w:after="0" w:line="240" w:lineRule="auto"/>
            </w:pPr>
            <w:r>
              <w:t>Coefficient de la matière</w:t>
            </w:r>
          </w:p>
        </w:tc>
        <w:tc>
          <w:tcPr>
            <w:tcW w:w="6513" w:type="dxa"/>
          </w:tcPr>
          <w:p w14:paraId="4A2A9329">
            <w:pPr>
              <w:spacing w:after="0" w:line="240" w:lineRule="auto"/>
            </w:pPr>
            <w:r>
              <w:rPr>
                <w:rFonts w:asciiTheme="minorHAnsi" w:hAnsiTheme="minorHAnsi" w:eastAsiaTheme="minorHAnsi" w:cstheme="minorBidi"/>
                <w:sz w:val="22"/>
                <w:szCs w:val="22"/>
                <w:lang w:val="fr-FR" w:eastAsia="en-US" w:bidi="ar-SA"/>
              </w:rPr>
              <w:fldChar w:fldCharType="begin">
                <w:ffData>
                  <w:name w:val="Text2"/>
                  <w:enabled/>
                  <w:calcOnExit w:val="0"/>
                  <w:textInput>
                    <w:default w:val="3"/>
                    <w:maxLength w:val="50"/>
                  </w:textInput>
                </w:ffData>
              </w:fldChar>
            </w:r>
            <w:r>
              <w:rPr>
                <w:rFonts w:asciiTheme="minorHAnsi" w:hAnsiTheme="minorHAnsi" w:eastAsiaTheme="minorHAnsi" w:cstheme="minorBidi"/>
                <w:sz w:val="22"/>
                <w:szCs w:val="22"/>
                <w:lang w:val="fr-FR" w:eastAsia="en-US" w:bidi="ar-SA"/>
              </w:rPr>
              <w:instrText xml:space="preserve">FORMTEXT</w:instrText>
            </w:r>
            <w:r>
              <w:rPr>
                <w:rFonts w:asciiTheme="minorHAnsi" w:hAnsiTheme="minorHAnsi" w:eastAsiaTheme="minorHAnsi" w:cstheme="minorBidi"/>
                <w:sz w:val="22"/>
                <w:szCs w:val="22"/>
                <w:lang w:val="fr-FR" w:eastAsia="en-US" w:bidi="ar-SA"/>
              </w:rPr>
              <w:fldChar w:fldCharType="separate"/>
            </w:r>
            <w:r>
              <w:rPr>
                <w:rFonts w:asciiTheme="minorHAnsi" w:hAnsiTheme="minorHAnsi" w:eastAsiaTheme="minorHAnsi" w:cstheme="minorBidi"/>
                <w:sz w:val="22"/>
                <w:szCs w:val="22"/>
                <w:lang w:val="fr-FR" w:eastAsia="en-US" w:bidi="ar-SA"/>
              </w:rPr>
              <w:t>3</w:t>
            </w:r>
            <w:r>
              <w:rPr>
                <w:rFonts w:asciiTheme="minorHAnsi" w:hAnsiTheme="minorHAnsi" w:eastAsiaTheme="minorHAnsi" w:cstheme="minorBidi"/>
                <w:sz w:val="22"/>
                <w:szCs w:val="22"/>
                <w:lang w:val="fr-FR" w:eastAsia="en-US" w:bidi="ar-SA"/>
              </w:rPr>
              <w:fldChar w:fldCharType="end"/>
            </w:r>
          </w:p>
        </w:tc>
      </w:tr>
      <w:tr w14:paraId="17D1F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5456A2C6">
            <w:pPr>
              <w:spacing w:after="0" w:line="240" w:lineRule="auto"/>
            </w:pPr>
            <w:r>
              <w:t>Pondération Participation</w:t>
            </w:r>
          </w:p>
        </w:tc>
        <w:tc>
          <w:tcPr>
            <w:tcW w:w="6513" w:type="dxa"/>
          </w:tcPr>
          <w:p w14:paraId="1836AED5">
            <w:pPr>
              <w:spacing w:after="0" w:line="240" w:lineRule="auto"/>
              <w:rPr>
                <w:rFonts w:hint="default"/>
                <w:lang w:val="fr-FR"/>
              </w:rPr>
            </w:pPr>
            <w:r>
              <w:rPr>
                <w:rFonts w:hint="default"/>
                <w:lang w:val="fr-FR"/>
              </w:rPr>
              <w:t>1</w:t>
            </w:r>
          </w:p>
        </w:tc>
      </w:tr>
      <w:tr w14:paraId="1CEAB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678856F0">
            <w:pPr>
              <w:spacing w:after="0" w:line="240" w:lineRule="auto"/>
            </w:pPr>
            <w:r>
              <w:t>Pondération Assiduité</w:t>
            </w:r>
          </w:p>
        </w:tc>
        <w:tc>
          <w:tcPr>
            <w:tcW w:w="6513" w:type="dxa"/>
          </w:tcPr>
          <w:p w14:paraId="0D099CE0">
            <w:pPr>
              <w:spacing w:after="0" w:line="240" w:lineRule="auto"/>
              <w:rPr>
                <w:rFonts w:hint="default"/>
                <w:lang w:val="fr-FR"/>
              </w:rPr>
            </w:pPr>
            <w:r>
              <w:rPr>
                <w:rFonts w:hint="default"/>
                <w:lang w:val="fr-FR"/>
              </w:rPr>
              <w:t>1</w:t>
            </w:r>
          </w:p>
        </w:tc>
      </w:tr>
      <w:tr w14:paraId="4E7A5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4CB8CF01">
            <w:pPr>
              <w:spacing w:after="0" w:line="240" w:lineRule="auto"/>
            </w:pPr>
            <w:r>
              <w:t>Calcul Moyenne C.C</w:t>
            </w:r>
          </w:p>
        </w:tc>
        <w:tc>
          <w:tcPr>
            <w:tcW w:w="6513" w:type="dxa"/>
          </w:tcPr>
          <w:p w14:paraId="5504D6A9">
            <w:pPr>
              <w:spacing w:after="0" w:line="240" w:lineRule="auto"/>
              <w:rPr>
                <w:rFonts w:hint="default"/>
                <w:lang w:val="fr-FR"/>
              </w:rPr>
            </w:pPr>
            <w:r>
              <w:rPr>
                <w:rFonts w:hint="default"/>
                <w:lang w:val="fr-FR"/>
              </w:rPr>
              <w:t>Examen (60%), Contrôle continu (40%)</w:t>
            </w:r>
          </w:p>
        </w:tc>
      </w:tr>
      <w:tr w14:paraId="7D642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shd w:val="clear" w:color="auto" w:fill="F1F1F1" w:themeFill="background1" w:themeFillShade="F2"/>
          </w:tcPr>
          <w:p w14:paraId="1EF2E9D8">
            <w:pPr>
              <w:spacing w:after="0" w:line="240" w:lineRule="auto"/>
            </w:pPr>
            <w:r>
              <w:t>Compétences visées</w:t>
            </w:r>
          </w:p>
        </w:tc>
        <w:tc>
          <w:tcPr>
            <w:tcW w:w="6513" w:type="dxa"/>
          </w:tcPr>
          <w:p w14:paraId="1430DC4C">
            <w:pPr>
              <w:spacing w:after="0" w:line="240" w:lineRule="auto"/>
              <w:jc w:val="both"/>
            </w:pPr>
            <w:r>
              <w:rPr>
                <w:rFonts w:hint="default"/>
              </w:rPr>
              <w:t>L'enseignement de la virologie fondamentale et appliquée vise à développer un ensemble varié de compétences chez les étudiants. Cela comprend une compréhension approfondie des concepts virologiques fondamentaux, la maîtrise des techniques moléculaires de laboratoire, la manipulation des cultures cellulaires, le diagnostic des infections virales, la compréhension des réponses immunitaires, l'analyse épidémiologique et la sensibilisation aux questions éthiques dans la recherche. Les étudiants sont également formés à communiquer efficacement leurs résultats, à faire preuve d'esprit critique et à collaborer au sein d'équipes multidisciplinaires. L'objectif général est de préparer les étudiants à appliquer leurs connaissances dans divers contextes, allant de la recherche fondamentale à la gestion des aspects médicaux et épidémiologiques des infections virales</w:t>
            </w:r>
          </w:p>
        </w:tc>
      </w:tr>
    </w:tbl>
    <w:p w14:paraId="143DB70F"/>
    <w:p w14:paraId="0AFA34AE"/>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988"/>
        <w:gridCol w:w="847"/>
        <w:gridCol w:w="1120"/>
        <w:gridCol w:w="883"/>
        <w:gridCol w:w="1559"/>
        <w:gridCol w:w="1528"/>
        <w:gridCol w:w="1158"/>
      </w:tblGrid>
      <w:tr w14:paraId="57597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8"/>
            <w:shd w:val="clear" w:color="auto" w:fill="F1F1F1" w:themeFill="background1" w:themeFillShade="F2"/>
          </w:tcPr>
          <w:p w14:paraId="6028301B">
            <w:pPr>
              <w:spacing w:after="0" w:line="240" w:lineRule="auto"/>
              <w:jc w:val="center"/>
              <w:rPr>
                <w:b/>
                <w:bCs/>
              </w:rPr>
            </w:pPr>
            <w:r>
              <w:rPr>
                <w:b/>
                <w:bCs/>
              </w:rPr>
              <w:t>EVALUATION DES CONTROLES CONTINUS DE CONNAISSANCES</w:t>
            </w:r>
          </w:p>
        </w:tc>
      </w:tr>
      <w:tr w14:paraId="6B002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8"/>
            <w:shd w:val="clear" w:color="auto" w:fill="F1F1F1" w:themeFill="background1" w:themeFillShade="F2"/>
          </w:tcPr>
          <w:p w14:paraId="6FA797DF">
            <w:pPr>
              <w:spacing w:after="0" w:line="240" w:lineRule="auto"/>
              <w:jc w:val="center"/>
              <w:rPr>
                <w:b/>
                <w:bCs/>
              </w:rPr>
            </w:pPr>
            <w:r>
              <w:rPr>
                <w:b/>
                <w:bCs/>
              </w:rPr>
              <w:t>PREMIER CONTROLE DE CONNAISSANCES</w:t>
            </w:r>
          </w:p>
        </w:tc>
      </w:tr>
      <w:tr w14:paraId="3B658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14:paraId="25AC2142">
            <w:pPr>
              <w:spacing w:after="0" w:line="240" w:lineRule="auto"/>
              <w:jc w:val="center"/>
            </w:pPr>
            <w:r>
              <w:t>Jour</w:t>
            </w:r>
          </w:p>
        </w:tc>
        <w:tc>
          <w:tcPr>
            <w:tcW w:w="988" w:type="dxa"/>
            <w:vAlign w:val="center"/>
          </w:tcPr>
          <w:p w14:paraId="6B4DBCD2">
            <w:pPr>
              <w:spacing w:after="0" w:line="240" w:lineRule="auto"/>
              <w:jc w:val="center"/>
            </w:pPr>
            <w:r>
              <w:t>Séance</w:t>
            </w:r>
          </w:p>
        </w:tc>
        <w:tc>
          <w:tcPr>
            <w:tcW w:w="847" w:type="dxa"/>
            <w:vAlign w:val="center"/>
          </w:tcPr>
          <w:p w14:paraId="5D6FFC94">
            <w:pPr>
              <w:spacing w:after="0" w:line="240" w:lineRule="auto"/>
              <w:jc w:val="center"/>
            </w:pPr>
            <w:r>
              <w:t>Durée</w:t>
            </w:r>
          </w:p>
        </w:tc>
        <w:tc>
          <w:tcPr>
            <w:tcW w:w="1120" w:type="dxa"/>
            <w:vAlign w:val="center"/>
          </w:tcPr>
          <w:p w14:paraId="11ED4836">
            <w:pPr>
              <w:spacing w:after="0" w:line="240" w:lineRule="auto"/>
              <w:jc w:val="center"/>
            </w:pPr>
            <w:r>
              <w:t>Type (1)</w:t>
            </w:r>
          </w:p>
        </w:tc>
        <w:tc>
          <w:tcPr>
            <w:tcW w:w="883" w:type="dxa"/>
            <w:vAlign w:val="center"/>
          </w:tcPr>
          <w:p w14:paraId="4A375D0E">
            <w:pPr>
              <w:spacing w:after="0" w:line="240" w:lineRule="auto"/>
              <w:jc w:val="center"/>
            </w:pPr>
            <w:r>
              <w:t>Doc autorisé (Oui, Non)</w:t>
            </w:r>
          </w:p>
        </w:tc>
        <w:tc>
          <w:tcPr>
            <w:tcW w:w="1559" w:type="dxa"/>
            <w:vAlign w:val="center"/>
          </w:tcPr>
          <w:p w14:paraId="46C71738">
            <w:pPr>
              <w:spacing w:after="0" w:line="240" w:lineRule="auto"/>
              <w:jc w:val="center"/>
            </w:pPr>
            <w:r>
              <w:t>Barème</w:t>
            </w:r>
          </w:p>
        </w:tc>
        <w:tc>
          <w:tcPr>
            <w:tcW w:w="1528" w:type="dxa"/>
            <w:vAlign w:val="center"/>
          </w:tcPr>
          <w:p w14:paraId="7D22B167">
            <w:pPr>
              <w:spacing w:after="0" w:line="240" w:lineRule="auto"/>
              <w:jc w:val="center"/>
            </w:pPr>
            <w:r>
              <w:t>Echange après évaluation</w:t>
            </w:r>
          </w:p>
          <w:p w14:paraId="7995F7C5">
            <w:pPr>
              <w:spacing w:after="0" w:line="240" w:lineRule="auto"/>
              <w:jc w:val="center"/>
            </w:pPr>
            <w:r>
              <w:t>(date Consult. copie)</w:t>
            </w:r>
          </w:p>
        </w:tc>
        <w:tc>
          <w:tcPr>
            <w:tcW w:w="1158" w:type="dxa"/>
            <w:vAlign w:val="center"/>
          </w:tcPr>
          <w:p w14:paraId="0DE552EB">
            <w:pPr>
              <w:spacing w:after="0" w:line="240" w:lineRule="auto"/>
              <w:jc w:val="center"/>
            </w:pPr>
            <w:r>
              <w:t>Critères évaluation (2)</w:t>
            </w:r>
          </w:p>
        </w:tc>
      </w:tr>
      <w:tr w14:paraId="5F686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14:paraId="276544E6">
            <w:pPr>
              <w:keepNext w:val="0"/>
              <w:keepLines w:val="0"/>
              <w:widowControl/>
              <w:suppressLineNumbers w:val="0"/>
              <w:spacing w:line="375" w:lineRule="atLeast"/>
              <w:jc w:val="left"/>
              <w:rPr>
                <w:rFonts w:hint="default"/>
                <w:lang w:val="fr-FR"/>
              </w:rPr>
            </w:pPr>
            <w:r>
              <w:rPr>
                <w:rFonts w:hint="default" w:ascii="Segoe UI" w:hAnsi="Segoe UI" w:eastAsia="Segoe UI" w:cs="Segoe UI"/>
                <w:i w:val="0"/>
                <w:iCs w:val="0"/>
                <w:caps w:val="0"/>
                <w:color w:val="0F1115"/>
                <w:spacing w:val="0"/>
                <w:kern w:val="0"/>
                <w:sz w:val="22"/>
                <w:szCs w:val="22"/>
                <w:lang w:val="fr-FR" w:eastAsia="zh-CN" w:bidi="ar"/>
              </w:rPr>
              <w:t>Mardi</w:t>
            </w:r>
          </w:p>
        </w:tc>
        <w:tc>
          <w:tcPr>
            <w:tcW w:w="988" w:type="dxa"/>
            <w:vAlign w:val="center"/>
          </w:tcPr>
          <w:p w14:paraId="001CB677">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en-US" w:eastAsia="zh-CN" w:bidi="ar"/>
              </w:rPr>
              <w:t>2:00 PM</w:t>
            </w:r>
          </w:p>
        </w:tc>
        <w:tc>
          <w:tcPr>
            <w:tcW w:w="847" w:type="dxa"/>
            <w:vAlign w:val="center"/>
          </w:tcPr>
          <w:p w14:paraId="1DD4A8B8">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en-US" w:eastAsia="zh-CN" w:bidi="ar"/>
              </w:rPr>
              <w:t>1h30</w:t>
            </w:r>
          </w:p>
        </w:tc>
        <w:tc>
          <w:tcPr>
            <w:tcW w:w="1120" w:type="dxa"/>
            <w:vAlign w:val="center"/>
          </w:tcPr>
          <w:p w14:paraId="179CE110">
            <w:pPr>
              <w:keepNext w:val="0"/>
              <w:keepLines w:val="0"/>
              <w:widowControl/>
              <w:suppressLineNumbers w:val="0"/>
              <w:spacing w:line="375" w:lineRule="atLeast"/>
              <w:jc w:val="left"/>
              <w:rPr>
                <w:rFonts w:hint="default"/>
                <w:lang w:val="fr-FR"/>
              </w:rPr>
            </w:pPr>
            <w:r>
              <w:rPr>
                <w:rFonts w:hint="default" w:ascii="Segoe UI" w:hAnsi="Segoe UI" w:eastAsia="Segoe UI" w:cs="Segoe UI"/>
                <w:i w:val="0"/>
                <w:iCs w:val="0"/>
                <w:caps w:val="0"/>
                <w:color w:val="0F1115"/>
                <w:spacing w:val="0"/>
                <w:kern w:val="0"/>
                <w:sz w:val="22"/>
                <w:szCs w:val="22"/>
                <w:lang w:val="fr-FR" w:eastAsia="zh-CN" w:bidi="ar"/>
              </w:rPr>
              <w:t>1</w:t>
            </w:r>
          </w:p>
        </w:tc>
        <w:tc>
          <w:tcPr>
            <w:tcW w:w="883" w:type="dxa"/>
            <w:vAlign w:val="center"/>
          </w:tcPr>
          <w:p w14:paraId="7271D7C5">
            <w:pPr>
              <w:keepNext w:val="0"/>
              <w:keepLines w:val="0"/>
              <w:widowControl/>
              <w:suppressLineNumbers w:val="0"/>
              <w:spacing w:line="375" w:lineRule="atLeast"/>
              <w:jc w:val="left"/>
              <w:rPr>
                <w:rFonts w:hint="default"/>
                <w:lang w:val="fr-FR"/>
              </w:rPr>
            </w:pPr>
            <w:r>
              <w:rPr>
                <w:rFonts w:hint="default" w:ascii="Segoe UI" w:hAnsi="Segoe UI" w:eastAsia="Segoe UI" w:cs="Segoe UI"/>
                <w:i w:val="0"/>
                <w:iCs w:val="0"/>
                <w:caps w:val="0"/>
                <w:color w:val="0F1115"/>
                <w:spacing w:val="0"/>
                <w:kern w:val="0"/>
                <w:sz w:val="22"/>
                <w:szCs w:val="22"/>
                <w:lang w:val="fr-FR" w:eastAsia="zh-CN" w:bidi="ar"/>
              </w:rPr>
              <w:t>Non</w:t>
            </w:r>
          </w:p>
        </w:tc>
        <w:tc>
          <w:tcPr>
            <w:tcW w:w="1559" w:type="dxa"/>
            <w:vAlign w:val="center"/>
          </w:tcPr>
          <w:p w14:paraId="5270A4A8">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en-US" w:eastAsia="zh-CN" w:bidi="ar"/>
              </w:rPr>
              <w:t>5+5+5+5</w:t>
            </w:r>
          </w:p>
        </w:tc>
        <w:tc>
          <w:tcPr>
            <w:tcW w:w="1528" w:type="dxa"/>
            <w:vAlign w:val="center"/>
          </w:tcPr>
          <w:p w14:paraId="1E6A7339">
            <w:pPr>
              <w:keepNext w:val="0"/>
              <w:keepLines w:val="0"/>
              <w:widowControl/>
              <w:suppressLineNumbers w:val="0"/>
              <w:spacing w:line="375" w:lineRule="atLeast"/>
              <w:jc w:val="left"/>
              <w:rPr>
                <w:rFonts w:hint="default"/>
                <w:lang w:val="fr-FR"/>
              </w:rPr>
            </w:pPr>
            <w:r>
              <w:rPr>
                <w:rFonts w:hint="default" w:ascii="Segoe UI" w:hAnsi="Segoe UI" w:eastAsia="Segoe UI" w:cs="Segoe UI"/>
                <w:i w:val="0"/>
                <w:iCs w:val="0"/>
                <w:color w:val="0F1115"/>
                <w:spacing w:val="0"/>
                <w:kern w:val="0"/>
                <w:sz w:val="22"/>
                <w:szCs w:val="22"/>
                <w:lang w:val="fr-FR" w:eastAsia="zh-CN" w:bidi="ar"/>
              </w:rPr>
              <w:t>E</w:t>
            </w:r>
            <w:r>
              <w:rPr>
                <w:rFonts w:hint="default" w:ascii="Segoe UI" w:hAnsi="Segoe UI" w:eastAsia="Segoe UI" w:cs="Segoe UI"/>
                <w:i w:val="0"/>
                <w:iCs w:val="0"/>
                <w:caps w:val="0"/>
                <w:color w:val="0F1115"/>
                <w:spacing w:val="0"/>
                <w:kern w:val="0"/>
                <w:sz w:val="22"/>
                <w:szCs w:val="22"/>
                <w:lang w:val="fr-FR" w:eastAsia="zh-CN" w:bidi="ar"/>
              </w:rPr>
              <w:t>n classe</w:t>
            </w:r>
          </w:p>
        </w:tc>
        <w:tc>
          <w:tcPr>
            <w:tcW w:w="1158" w:type="dxa"/>
            <w:vAlign w:val="center"/>
          </w:tcPr>
          <w:p w14:paraId="19CF9EBA">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en-US" w:eastAsia="zh-CN" w:bidi="ar"/>
              </w:rPr>
              <w:t xml:space="preserve">Oral </w:t>
            </w:r>
            <w:r>
              <w:rPr>
                <w:rFonts w:hint="default" w:ascii="Segoe UI" w:hAnsi="Segoe UI" w:eastAsia="Segoe UI" w:cs="Segoe UI"/>
                <w:i w:val="0"/>
                <w:iCs w:val="0"/>
                <w:caps w:val="0"/>
                <w:color w:val="0F1115"/>
                <w:spacing w:val="0"/>
                <w:kern w:val="0"/>
                <w:sz w:val="22"/>
                <w:szCs w:val="22"/>
                <w:lang w:val="fr-FR" w:eastAsia="zh-CN" w:bidi="ar"/>
              </w:rPr>
              <w:t>et écrit</w:t>
            </w:r>
          </w:p>
        </w:tc>
      </w:tr>
      <w:tr w14:paraId="78BA2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8"/>
            <w:shd w:val="clear" w:color="auto" w:fill="F1F1F1" w:themeFill="background1" w:themeFillShade="F2"/>
          </w:tcPr>
          <w:p w14:paraId="18B60AE3">
            <w:pPr>
              <w:spacing w:after="0" w:line="240" w:lineRule="auto"/>
              <w:jc w:val="center"/>
              <w:rPr>
                <w:b/>
                <w:bCs/>
              </w:rPr>
            </w:pPr>
            <w:r>
              <w:rPr>
                <w:b/>
                <w:bCs/>
              </w:rPr>
              <w:t>DEUXIEME CONTROLE DE CONNAISSANCES</w:t>
            </w:r>
          </w:p>
        </w:tc>
      </w:tr>
      <w:tr w14:paraId="30482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14:paraId="4F7A83A8">
            <w:pPr>
              <w:spacing w:after="0" w:line="240" w:lineRule="auto"/>
              <w:jc w:val="center"/>
            </w:pPr>
            <w:r>
              <w:t>Jour</w:t>
            </w:r>
          </w:p>
        </w:tc>
        <w:tc>
          <w:tcPr>
            <w:tcW w:w="988" w:type="dxa"/>
            <w:vAlign w:val="center"/>
          </w:tcPr>
          <w:p w14:paraId="654776C6">
            <w:pPr>
              <w:spacing w:after="0" w:line="240" w:lineRule="auto"/>
              <w:jc w:val="center"/>
            </w:pPr>
            <w:r>
              <w:t>Séance</w:t>
            </w:r>
          </w:p>
        </w:tc>
        <w:tc>
          <w:tcPr>
            <w:tcW w:w="847" w:type="dxa"/>
            <w:vAlign w:val="center"/>
          </w:tcPr>
          <w:p w14:paraId="2B6AF038">
            <w:pPr>
              <w:spacing w:after="0" w:line="240" w:lineRule="auto"/>
              <w:jc w:val="center"/>
            </w:pPr>
            <w:r>
              <w:t>Durée</w:t>
            </w:r>
          </w:p>
        </w:tc>
        <w:tc>
          <w:tcPr>
            <w:tcW w:w="1120" w:type="dxa"/>
            <w:vAlign w:val="center"/>
          </w:tcPr>
          <w:p w14:paraId="741CB3E9">
            <w:pPr>
              <w:spacing w:after="0" w:line="240" w:lineRule="auto"/>
              <w:jc w:val="center"/>
            </w:pPr>
            <w:r>
              <w:t>Type (1)</w:t>
            </w:r>
          </w:p>
        </w:tc>
        <w:tc>
          <w:tcPr>
            <w:tcW w:w="883" w:type="dxa"/>
            <w:vAlign w:val="center"/>
          </w:tcPr>
          <w:p w14:paraId="4B10DA24">
            <w:pPr>
              <w:spacing w:after="0" w:line="240" w:lineRule="auto"/>
              <w:jc w:val="center"/>
            </w:pPr>
            <w:r>
              <w:t>Doc autorisé (Oui, Non)</w:t>
            </w:r>
          </w:p>
        </w:tc>
        <w:tc>
          <w:tcPr>
            <w:tcW w:w="1559" w:type="dxa"/>
            <w:vAlign w:val="center"/>
          </w:tcPr>
          <w:p w14:paraId="59D853DE">
            <w:pPr>
              <w:spacing w:after="0" w:line="240" w:lineRule="auto"/>
              <w:jc w:val="center"/>
            </w:pPr>
            <w:r>
              <w:t>Barème</w:t>
            </w:r>
          </w:p>
        </w:tc>
        <w:tc>
          <w:tcPr>
            <w:tcW w:w="1528" w:type="dxa"/>
            <w:vAlign w:val="center"/>
          </w:tcPr>
          <w:p w14:paraId="251CA2C6">
            <w:pPr>
              <w:spacing w:after="0" w:line="240" w:lineRule="auto"/>
              <w:jc w:val="center"/>
            </w:pPr>
            <w:r>
              <w:t>Echange après évaluation</w:t>
            </w:r>
          </w:p>
          <w:p w14:paraId="31749388">
            <w:pPr>
              <w:spacing w:after="0" w:line="240" w:lineRule="auto"/>
              <w:jc w:val="center"/>
            </w:pPr>
            <w:r>
              <w:t>(date consultation copies)</w:t>
            </w:r>
          </w:p>
        </w:tc>
        <w:tc>
          <w:tcPr>
            <w:tcW w:w="1158" w:type="dxa"/>
            <w:vAlign w:val="center"/>
          </w:tcPr>
          <w:p w14:paraId="428DCE44">
            <w:pPr>
              <w:spacing w:after="0" w:line="240" w:lineRule="auto"/>
              <w:jc w:val="center"/>
            </w:pPr>
            <w:r>
              <w:t>Critères évaluation (2)</w:t>
            </w:r>
          </w:p>
        </w:tc>
      </w:tr>
      <w:tr w14:paraId="13BBD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 w:type="dxa"/>
            <w:vAlign w:val="center"/>
          </w:tcPr>
          <w:p w14:paraId="7CEF71B0">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fr-FR" w:eastAsia="zh-CN" w:bidi="ar"/>
              </w:rPr>
              <w:t>Mardi</w:t>
            </w:r>
          </w:p>
        </w:tc>
        <w:tc>
          <w:tcPr>
            <w:tcW w:w="988" w:type="dxa"/>
            <w:vAlign w:val="center"/>
          </w:tcPr>
          <w:p w14:paraId="7AE5037E">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en-US" w:eastAsia="zh-CN" w:bidi="ar"/>
              </w:rPr>
              <w:t>2:00 PM</w:t>
            </w:r>
          </w:p>
        </w:tc>
        <w:tc>
          <w:tcPr>
            <w:tcW w:w="847" w:type="dxa"/>
            <w:vAlign w:val="center"/>
          </w:tcPr>
          <w:p w14:paraId="529538B7">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en-US" w:eastAsia="zh-CN" w:bidi="ar"/>
              </w:rPr>
              <w:t>1h30</w:t>
            </w:r>
          </w:p>
        </w:tc>
        <w:tc>
          <w:tcPr>
            <w:tcW w:w="1120" w:type="dxa"/>
            <w:vAlign w:val="center"/>
          </w:tcPr>
          <w:p w14:paraId="76980A81">
            <w:pPr>
              <w:keepNext w:val="0"/>
              <w:keepLines w:val="0"/>
              <w:widowControl/>
              <w:suppressLineNumbers w:val="0"/>
              <w:spacing w:line="375" w:lineRule="atLeast"/>
              <w:jc w:val="left"/>
              <w:rPr>
                <w:rFonts w:hint="default"/>
                <w:lang w:val="fr-FR"/>
              </w:rPr>
            </w:pPr>
            <w:r>
              <w:rPr>
                <w:rFonts w:hint="default" w:ascii="Segoe UI" w:hAnsi="Segoe UI" w:eastAsia="Segoe UI" w:cs="Segoe UI"/>
                <w:i w:val="0"/>
                <w:iCs w:val="0"/>
                <w:caps w:val="0"/>
                <w:color w:val="0F1115"/>
                <w:spacing w:val="0"/>
                <w:kern w:val="0"/>
                <w:sz w:val="22"/>
                <w:szCs w:val="22"/>
                <w:lang w:val="fr-FR" w:eastAsia="zh-CN" w:bidi="ar"/>
              </w:rPr>
              <w:t>1</w:t>
            </w:r>
          </w:p>
        </w:tc>
        <w:tc>
          <w:tcPr>
            <w:tcW w:w="883" w:type="dxa"/>
            <w:vAlign w:val="center"/>
          </w:tcPr>
          <w:p w14:paraId="0A8F0C2F">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fr-FR" w:eastAsia="zh-CN" w:bidi="ar"/>
              </w:rPr>
              <w:t>Non</w:t>
            </w:r>
          </w:p>
        </w:tc>
        <w:tc>
          <w:tcPr>
            <w:tcW w:w="1559" w:type="dxa"/>
            <w:vAlign w:val="center"/>
          </w:tcPr>
          <w:p w14:paraId="76458628">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en-US" w:eastAsia="zh-CN" w:bidi="ar"/>
              </w:rPr>
              <w:t>5+5+5+5</w:t>
            </w:r>
          </w:p>
        </w:tc>
        <w:tc>
          <w:tcPr>
            <w:tcW w:w="1528" w:type="dxa"/>
            <w:vAlign w:val="center"/>
          </w:tcPr>
          <w:p w14:paraId="3D32E11E">
            <w:pPr>
              <w:keepNext w:val="0"/>
              <w:keepLines w:val="0"/>
              <w:widowControl/>
              <w:suppressLineNumbers w:val="0"/>
              <w:spacing w:line="375" w:lineRule="atLeast"/>
              <w:jc w:val="left"/>
            </w:pPr>
            <w:r>
              <w:rPr>
                <w:rFonts w:hint="default" w:ascii="Segoe UI" w:hAnsi="Segoe UI" w:eastAsia="Segoe UI" w:cs="Segoe UI"/>
                <w:i w:val="0"/>
                <w:iCs w:val="0"/>
                <w:color w:val="0F1115"/>
                <w:spacing w:val="0"/>
                <w:kern w:val="0"/>
                <w:sz w:val="22"/>
                <w:szCs w:val="22"/>
                <w:lang w:val="fr-FR" w:eastAsia="zh-CN" w:bidi="ar"/>
              </w:rPr>
              <w:t>E</w:t>
            </w:r>
            <w:r>
              <w:rPr>
                <w:rFonts w:hint="default" w:ascii="Segoe UI" w:hAnsi="Segoe UI" w:eastAsia="Segoe UI" w:cs="Segoe UI"/>
                <w:i w:val="0"/>
                <w:iCs w:val="0"/>
                <w:caps w:val="0"/>
                <w:color w:val="0F1115"/>
                <w:spacing w:val="0"/>
                <w:kern w:val="0"/>
                <w:sz w:val="22"/>
                <w:szCs w:val="22"/>
                <w:lang w:val="fr-FR" w:eastAsia="zh-CN" w:bidi="ar"/>
              </w:rPr>
              <w:t>n classe</w:t>
            </w:r>
          </w:p>
        </w:tc>
        <w:tc>
          <w:tcPr>
            <w:tcW w:w="1158" w:type="dxa"/>
            <w:vAlign w:val="center"/>
          </w:tcPr>
          <w:p w14:paraId="049A3DE1">
            <w:pPr>
              <w:keepNext w:val="0"/>
              <w:keepLines w:val="0"/>
              <w:widowControl/>
              <w:suppressLineNumbers w:val="0"/>
              <w:spacing w:line="375" w:lineRule="atLeast"/>
              <w:jc w:val="left"/>
            </w:pPr>
            <w:r>
              <w:rPr>
                <w:rFonts w:hint="default" w:ascii="Segoe UI" w:hAnsi="Segoe UI" w:eastAsia="Segoe UI" w:cs="Segoe UI"/>
                <w:i w:val="0"/>
                <w:iCs w:val="0"/>
                <w:caps w:val="0"/>
                <w:color w:val="0F1115"/>
                <w:spacing w:val="0"/>
                <w:kern w:val="0"/>
                <w:sz w:val="22"/>
                <w:szCs w:val="22"/>
                <w:lang w:val="en-US" w:eastAsia="zh-CN" w:bidi="ar"/>
              </w:rPr>
              <w:t xml:space="preserve">Oral </w:t>
            </w:r>
            <w:r>
              <w:rPr>
                <w:rFonts w:hint="default" w:ascii="Segoe UI" w:hAnsi="Segoe UI" w:eastAsia="Segoe UI" w:cs="Segoe UI"/>
                <w:i w:val="0"/>
                <w:iCs w:val="0"/>
                <w:caps w:val="0"/>
                <w:color w:val="0F1115"/>
                <w:spacing w:val="0"/>
                <w:kern w:val="0"/>
                <w:sz w:val="22"/>
                <w:szCs w:val="22"/>
                <w:lang w:val="fr-FR" w:eastAsia="zh-CN" w:bidi="ar"/>
              </w:rPr>
              <w:t>et écrit</w:t>
            </w:r>
          </w:p>
        </w:tc>
      </w:tr>
    </w:tbl>
    <w:p w14:paraId="4923BA79">
      <w:pPr>
        <w:pStyle w:val="14"/>
        <w:numPr>
          <w:ilvl w:val="0"/>
          <w:numId w:val="6"/>
        </w:numPr>
      </w:pPr>
      <w:r>
        <w:t>Type : E=écrit, EI=exposé individuel, EC=exposé en classe, EX=expérimentation, QCM</w:t>
      </w:r>
    </w:p>
    <w:p w14:paraId="287AC8FA">
      <w:pPr>
        <w:pStyle w:val="14"/>
        <w:numPr>
          <w:ilvl w:val="0"/>
          <w:numId w:val="6"/>
        </w:numPr>
      </w:pPr>
      <w:r>
        <w:t>Critères évaluation :A=Analyse, S=synthèse,AR=argumentation, D=démarche, R=résultats</w:t>
      </w:r>
    </w:p>
    <w:p w14:paraId="5B1A1AE1"/>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6938"/>
      </w:tblGrid>
      <w:tr w14:paraId="694D8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2"/>
            <w:shd w:val="clear" w:color="auto" w:fill="F1F1F1" w:themeFill="background1" w:themeFillShade="F2"/>
            <w:vAlign w:val="center"/>
          </w:tcPr>
          <w:p w14:paraId="619D8AB1">
            <w:pPr>
              <w:spacing w:after="0" w:line="240" w:lineRule="auto"/>
              <w:jc w:val="both"/>
              <w:rPr>
                <w:b/>
                <w:bCs/>
              </w:rPr>
            </w:pPr>
            <w:r>
              <w:rPr>
                <w:b/>
                <w:bCs/>
              </w:rPr>
              <w:t>EQUIPEMENTS ET MATERIELS UTILISES</w:t>
            </w:r>
          </w:p>
        </w:tc>
      </w:tr>
      <w:tr w14:paraId="5670A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1454F4FF">
            <w:pPr>
              <w:spacing w:after="0" w:line="240" w:lineRule="auto"/>
              <w:jc w:val="both"/>
            </w:pPr>
            <w:r>
              <w:t>Adresses Plateformes</w:t>
            </w:r>
          </w:p>
        </w:tc>
        <w:tc>
          <w:tcPr>
            <w:tcW w:w="6938" w:type="dxa"/>
            <w:vAlign w:val="center"/>
          </w:tcPr>
          <w:p w14:paraId="1A8A13CB">
            <w:pPr>
              <w:spacing w:after="0" w:line="240" w:lineRule="auto"/>
              <w:jc w:val="both"/>
            </w:pPr>
            <w:r>
              <w:rPr>
                <w:rFonts w:hint="default"/>
              </w:rPr>
              <w:t>.</w:t>
            </w:r>
          </w:p>
        </w:tc>
      </w:tr>
      <w:tr w14:paraId="675FB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2F1384A7">
            <w:pPr>
              <w:spacing w:after="0" w:line="240" w:lineRule="auto"/>
              <w:jc w:val="both"/>
            </w:pPr>
            <w:r>
              <w:t>Noms Applications (Web, réseau local)</w:t>
            </w:r>
          </w:p>
        </w:tc>
        <w:tc>
          <w:tcPr>
            <w:tcW w:w="6938" w:type="dxa"/>
            <w:vAlign w:val="center"/>
          </w:tcPr>
          <w:p w14:paraId="20EE129F">
            <w:pPr>
              <w:spacing w:after="0" w:line="240" w:lineRule="auto"/>
              <w:jc w:val="both"/>
            </w:pPr>
            <w:r>
              <w:rPr>
                <w:rFonts w:hint="default"/>
              </w:rPr>
              <w:t>PubMed : https://pubmed.ncbi.nlm.nih.gov/ (Base de données d'articles scientifiques).  Virology Journal : https://virologyj.biomedcentral.com/ (Articles de recherche en virologie).  ASM (American Society for Microbiology) : https://www.asm.org/ (Ressources et actualités).  Coursera : https://www.coursera.org/ (Cours en ligne de virologie et biologie moléculaire).</w:t>
            </w:r>
          </w:p>
        </w:tc>
      </w:tr>
      <w:tr w14:paraId="4DC2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642238AD">
            <w:pPr>
              <w:spacing w:after="0" w:line="240" w:lineRule="auto"/>
              <w:jc w:val="both"/>
            </w:pPr>
            <w:r>
              <w:t xml:space="preserve">Polycopiés </w:t>
            </w:r>
          </w:p>
        </w:tc>
        <w:tc>
          <w:tcPr>
            <w:tcW w:w="6938" w:type="dxa"/>
            <w:vAlign w:val="center"/>
          </w:tcPr>
          <w:p w14:paraId="12525742">
            <w:pPr>
              <w:spacing w:after="0" w:line="240" w:lineRule="auto"/>
              <w:jc w:val="both"/>
            </w:pPr>
            <w:r>
              <w:rPr>
                <w:rFonts w:hint="default"/>
                <w:lang w:val="fr-FR"/>
              </w:rPr>
              <w:t>Polycopié du cours: virologie fondamentale et moléculaire</w:t>
            </w:r>
          </w:p>
        </w:tc>
      </w:tr>
      <w:tr w14:paraId="6BFC3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4C227778">
            <w:pPr>
              <w:spacing w:after="0" w:line="240" w:lineRule="auto"/>
              <w:jc w:val="both"/>
            </w:pPr>
            <w:r>
              <w:t>Matériels de laboratoires</w:t>
            </w:r>
          </w:p>
        </w:tc>
        <w:tc>
          <w:tcPr>
            <w:tcW w:w="6938" w:type="dxa"/>
            <w:vAlign w:val="center"/>
          </w:tcPr>
          <w:p w14:paraId="7400B179">
            <w:pPr>
              <w:spacing w:after="0" w:line="240" w:lineRule="auto"/>
              <w:jc w:val="both"/>
              <w:rPr>
                <w:rFonts w:hint="default"/>
              </w:rPr>
            </w:pPr>
            <w:r>
              <w:rPr>
                <w:rFonts w:hint="default"/>
                <w:b/>
                <w:bCs/>
              </w:rPr>
              <w:t xml:space="preserve">Centrifugeuse </w:t>
            </w:r>
            <w:r>
              <w:rPr>
                <w:rFonts w:hint="default"/>
              </w:rPr>
              <w:t>: Sépare les composants cellulaires et viraux en fonction de leur densité.</w:t>
            </w:r>
          </w:p>
          <w:p w14:paraId="7C50C4AC">
            <w:pPr>
              <w:spacing w:after="0" w:line="240" w:lineRule="auto"/>
              <w:jc w:val="both"/>
              <w:rPr>
                <w:rFonts w:hint="default"/>
              </w:rPr>
            </w:pPr>
            <w:r>
              <w:rPr>
                <w:rFonts w:hint="default"/>
                <w:b/>
                <w:bCs/>
              </w:rPr>
              <w:t xml:space="preserve">PCR </w:t>
            </w:r>
            <w:r>
              <w:rPr>
                <w:rFonts w:hint="default"/>
              </w:rPr>
              <w:t>(Réaction en chaîne par polymérase) &amp; Thermocycleur : Utilisés pour amplifier spécifiquement des fragments d'ADN viral afin de faciliter leur étude.</w:t>
            </w:r>
          </w:p>
          <w:p w14:paraId="0811C61D">
            <w:pPr>
              <w:spacing w:after="0" w:line="240" w:lineRule="auto"/>
              <w:jc w:val="both"/>
              <w:rPr>
                <w:rFonts w:hint="default"/>
              </w:rPr>
            </w:pPr>
            <w:r>
              <w:rPr>
                <w:rFonts w:hint="default"/>
                <w:b/>
                <w:bCs/>
              </w:rPr>
              <w:t xml:space="preserve">Électrophorèse </w:t>
            </w:r>
            <w:r>
              <w:rPr>
                <w:rFonts w:hint="default"/>
              </w:rPr>
              <w:t>sur gel d'agarose : Utilisée pour séparer et analyser les acides nucléiques, tels que l'ADN viral.</w:t>
            </w:r>
          </w:p>
          <w:p w14:paraId="2C5CCE26">
            <w:pPr>
              <w:spacing w:after="0" w:line="240" w:lineRule="auto"/>
              <w:jc w:val="both"/>
              <w:rPr>
                <w:rFonts w:hint="default"/>
              </w:rPr>
            </w:pPr>
            <w:r>
              <w:rPr>
                <w:rFonts w:hint="default"/>
                <w:b/>
                <w:bCs/>
              </w:rPr>
              <w:t xml:space="preserve">Incubateurs </w:t>
            </w:r>
            <w:r>
              <w:rPr>
                <w:rFonts w:hint="default"/>
              </w:rPr>
              <w:t>: Maintiennent des conditions de croissance optimales pour les cultures cellulaires et virales.</w:t>
            </w:r>
          </w:p>
          <w:p w14:paraId="5AB84A11">
            <w:pPr>
              <w:spacing w:after="0" w:line="240" w:lineRule="auto"/>
              <w:jc w:val="both"/>
              <w:rPr>
                <w:rFonts w:hint="default"/>
              </w:rPr>
            </w:pPr>
            <w:r>
              <w:rPr>
                <w:rFonts w:hint="default"/>
                <w:b/>
                <w:bCs/>
              </w:rPr>
              <w:t xml:space="preserve">Spectrophotomètre </w:t>
            </w:r>
            <w:r>
              <w:rPr>
                <w:rFonts w:hint="default"/>
              </w:rPr>
              <w:t>: Mesure la concentration des acides nucléiques dans les échantillons.</w:t>
            </w:r>
          </w:p>
          <w:p w14:paraId="7FC8C71E">
            <w:pPr>
              <w:spacing w:after="0" w:line="240" w:lineRule="auto"/>
              <w:jc w:val="both"/>
            </w:pPr>
          </w:p>
        </w:tc>
      </w:tr>
      <w:tr w14:paraId="5A999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4BEF7B8F">
            <w:pPr>
              <w:spacing w:after="0" w:line="240" w:lineRule="auto"/>
              <w:jc w:val="both"/>
            </w:pPr>
            <w:r>
              <w:t>Matériels de protection</w:t>
            </w:r>
          </w:p>
        </w:tc>
        <w:tc>
          <w:tcPr>
            <w:tcW w:w="6938" w:type="dxa"/>
            <w:vAlign w:val="center"/>
          </w:tcPr>
          <w:p w14:paraId="4C677E2C">
            <w:pPr>
              <w:spacing w:after="0" w:line="240" w:lineRule="auto"/>
              <w:jc w:val="both"/>
              <w:rPr>
                <w:rFonts w:hint="default"/>
                <w:lang w:val="fr-FR"/>
              </w:rPr>
            </w:pPr>
            <w:r>
              <w:rPr>
                <w:rFonts w:hint="default"/>
                <w:b/>
                <w:bCs/>
              </w:rPr>
              <w:t>Poste de sécurité microbiologique (PSM)</w:t>
            </w:r>
            <w:r>
              <w:rPr>
                <w:rFonts w:hint="default"/>
              </w:rPr>
              <w:t xml:space="preserve"> : Assure un environnement de travail sécurisé lors de la manipulation des virus</w:t>
            </w:r>
            <w:r>
              <w:rPr>
                <w:rFonts w:hint="default"/>
                <w:lang w:val="fr-FR"/>
              </w:rPr>
              <w:t>.</w:t>
            </w:r>
          </w:p>
          <w:p w14:paraId="5B50EE0E">
            <w:pPr>
              <w:spacing w:after="0" w:line="240" w:lineRule="auto"/>
              <w:jc w:val="both"/>
            </w:pPr>
            <w:r>
              <w:rPr>
                <w:rFonts w:hint="default"/>
                <w:lang w:val="fr-FR"/>
              </w:rPr>
              <w:t>Blouses, gants en nitrile ou en latex, lunettes de sécurité, respirateurs et chaussures fermées.  Tabliers de protection, sorbonnes/PSM et dispositifs de lavage d'urgence (douches et stations de lavage oculaire).</w:t>
            </w:r>
          </w:p>
        </w:tc>
      </w:tr>
      <w:tr w14:paraId="6F1D5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shd w:val="clear" w:color="auto" w:fill="F1F1F1" w:themeFill="background1" w:themeFillShade="F2"/>
            <w:vAlign w:val="center"/>
          </w:tcPr>
          <w:p w14:paraId="09721132">
            <w:pPr>
              <w:spacing w:after="0" w:line="240" w:lineRule="auto"/>
              <w:jc w:val="both"/>
            </w:pPr>
            <w:r>
              <w:t>Matériels de sorties sur le terrain</w:t>
            </w:r>
          </w:p>
        </w:tc>
        <w:tc>
          <w:tcPr>
            <w:tcW w:w="6938" w:type="dxa"/>
            <w:vAlign w:val="center"/>
          </w:tcPr>
          <w:p w14:paraId="6E0A42A6">
            <w:pPr>
              <w:spacing w:after="0" w:line="240" w:lineRule="auto"/>
              <w:jc w:val="both"/>
            </w:pPr>
            <w:r>
              <w:rPr>
                <w:rFonts w:hint="default"/>
                <w:lang w:val="fr-FR"/>
              </w:rPr>
              <w:t>Matériel nécessaire aux prélèvement stérile et sécurisé</w:t>
            </w:r>
          </w:p>
        </w:tc>
      </w:tr>
    </w:tbl>
    <w:p w14:paraId="549935DF"/>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371"/>
      </w:tblGrid>
      <w:tr w14:paraId="4456E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2"/>
            <w:shd w:val="clear" w:color="auto" w:fill="F1F1F1" w:themeFill="background1" w:themeFillShade="F2"/>
            <w:vAlign w:val="center"/>
          </w:tcPr>
          <w:p w14:paraId="2E888903">
            <w:pPr>
              <w:spacing w:after="0" w:line="240" w:lineRule="auto"/>
              <w:jc w:val="left"/>
              <w:rPr>
                <w:b/>
                <w:bCs/>
              </w:rPr>
            </w:pPr>
            <w:r>
              <w:rPr>
                <w:b/>
                <w:bCs/>
              </w:rPr>
              <w:t>LES ATTENTES</w:t>
            </w:r>
          </w:p>
        </w:tc>
      </w:tr>
      <w:tr w14:paraId="580C5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14:paraId="2DEFC80A">
            <w:pPr>
              <w:spacing w:after="0" w:line="240" w:lineRule="auto"/>
              <w:jc w:val="left"/>
            </w:pPr>
            <w:r>
              <w:t>Attendues des étudiants (Participation-implication)</w:t>
            </w:r>
          </w:p>
        </w:tc>
        <w:tc>
          <w:tcPr>
            <w:tcW w:w="6371" w:type="dxa"/>
            <w:vAlign w:val="center"/>
          </w:tcPr>
          <w:p w14:paraId="1B3021D7">
            <w:pPr>
              <w:spacing w:after="0" w:line="240" w:lineRule="auto"/>
              <w:jc w:val="left"/>
            </w:pPr>
            <w:r>
              <w:rPr>
                <w:rFonts w:hint="default"/>
              </w:rPr>
              <w:t>Attentes envers les étudiants (Participation-Implication) : En première année de master en virologie, les étudiants doivent participer activement aux cours, lire et comprendre les documents scientifiques, s'impliquer dans les travaux pratiques de laboratoire en manipulant des virus, et mener à bien des projets de recherche. La participation à des présentations orales et la collaboration avec d'autres étudiants et chercheurs sont également encouragées. Les étudiants doivent développer leur esprit critique, être ouverts à l'auto-apprentissage et faire preuve d'un engagement ferme envers le domaine de la virologie.</w:t>
            </w:r>
          </w:p>
        </w:tc>
      </w:tr>
      <w:tr w14:paraId="3134F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14:paraId="6CA64422">
            <w:pPr>
              <w:spacing w:after="0" w:line="240" w:lineRule="auto"/>
              <w:jc w:val="left"/>
            </w:pPr>
            <w:r>
              <w:t>Attentes de l’enseignant</w:t>
            </w:r>
          </w:p>
        </w:tc>
        <w:tc>
          <w:tcPr>
            <w:tcW w:w="6371" w:type="dxa"/>
            <w:vAlign w:val="center"/>
          </w:tcPr>
          <w:p w14:paraId="60713CC9">
            <w:pPr>
              <w:spacing w:after="0" w:line="240" w:lineRule="auto"/>
              <w:jc w:val="left"/>
            </w:pPr>
            <w:r>
              <w:rPr>
                <w:rFonts w:hint="default"/>
              </w:rPr>
              <w:t>Un enseignant de master 1 spécialisé en virologie doit démontrer une maîtrise approfondie du sujet, enseigner de manière claire et innovante, évaluer équitablement, encadrer les projets de recherche, être disponible pour les étudiants, stimuler l'esprit critique, actualiser régulièrement ses cours, intégrer les aspects éthiques et créer un environnement d'apprentissage positif.</w:t>
            </w:r>
          </w:p>
        </w:tc>
      </w:tr>
    </w:tbl>
    <w:p w14:paraId="3D9C58B6"/>
    <w:p w14:paraId="0B2E6599"/>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371"/>
      </w:tblGrid>
      <w:tr w14:paraId="4770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2"/>
            <w:shd w:val="clear" w:color="auto" w:fill="F1F1F1" w:themeFill="background1" w:themeFillShade="F2"/>
            <w:vAlign w:val="center"/>
          </w:tcPr>
          <w:p w14:paraId="4302AE24">
            <w:pPr>
              <w:spacing w:after="0" w:line="240" w:lineRule="auto"/>
              <w:jc w:val="both"/>
              <w:rPr>
                <w:b/>
                <w:bCs/>
              </w:rPr>
            </w:pPr>
            <w:r>
              <w:rPr>
                <w:b/>
                <w:bCs/>
              </w:rPr>
              <w:t>BIBLIOGRAPHIE</w:t>
            </w:r>
          </w:p>
        </w:tc>
      </w:tr>
      <w:tr w14:paraId="67599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14:paraId="42080E48">
            <w:pPr>
              <w:spacing w:after="0" w:line="240" w:lineRule="auto"/>
              <w:jc w:val="both"/>
            </w:pPr>
            <w:r>
              <w:t>Livres et ressources numériques</w:t>
            </w:r>
          </w:p>
        </w:tc>
        <w:tc>
          <w:tcPr>
            <w:tcW w:w="6371" w:type="dxa"/>
            <w:vAlign w:val="center"/>
          </w:tcPr>
          <w:p w14:paraId="4BDD07A0">
            <w:pPr>
              <w:numPr>
                <w:ilvl w:val="0"/>
                <w:numId w:val="7"/>
              </w:numPr>
              <w:spacing w:after="0" w:line="240" w:lineRule="auto"/>
              <w:ind w:left="420" w:leftChars="0" w:hanging="420" w:firstLineChars="0"/>
              <w:jc w:val="both"/>
              <w:rPr>
                <w:rFonts w:hint="default"/>
              </w:rPr>
            </w:pPr>
            <w:r>
              <w:rPr>
                <w:rFonts w:hint="default"/>
              </w:rPr>
              <w:t>Molecular and cellular virology par David Baltimore, David Knipe et David Roizman.</w:t>
            </w:r>
          </w:p>
          <w:p w14:paraId="4C2CEA85">
            <w:pPr>
              <w:numPr>
                <w:ilvl w:val="0"/>
                <w:numId w:val="7"/>
              </w:numPr>
              <w:spacing w:after="0" w:line="240" w:lineRule="auto"/>
              <w:ind w:left="420" w:leftChars="0" w:hanging="420" w:firstLineChars="0"/>
              <w:jc w:val="both"/>
            </w:pPr>
            <w:r>
              <w:rPr>
                <w:rFonts w:hint="default"/>
              </w:rPr>
              <w:t>Introduction to virology par Robert W. Compans.  Virology (et Fields Virology) édité par David M. Knipe et Peter M. Howley.</w:t>
            </w:r>
          </w:p>
          <w:p w14:paraId="4BFCA428">
            <w:pPr>
              <w:numPr>
                <w:ilvl w:val="0"/>
                <w:numId w:val="7"/>
              </w:numPr>
              <w:spacing w:after="0" w:line="240" w:lineRule="auto"/>
              <w:ind w:left="420" w:leftChars="0" w:hanging="420" w:firstLineChars="0"/>
              <w:jc w:val="both"/>
            </w:pPr>
            <w:r>
              <w:rPr>
                <w:rFonts w:hint="default"/>
              </w:rPr>
              <w:t xml:space="preserve">Principles of Virology par S. Jane Flint, Vincent R. Racaniello, et al.  Molecular Biology of the Cell par Bruce Alberts, Alexander Johnson, Julian Lewis, et al.  </w:t>
            </w:r>
          </w:p>
        </w:tc>
      </w:tr>
      <w:tr w14:paraId="733C6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14:paraId="4D39CD7C">
            <w:pPr>
              <w:spacing w:after="0" w:line="240" w:lineRule="auto"/>
              <w:jc w:val="both"/>
            </w:pPr>
            <w:r>
              <w:t>Articles</w:t>
            </w:r>
          </w:p>
        </w:tc>
        <w:tc>
          <w:tcPr>
            <w:tcW w:w="6371" w:type="dxa"/>
            <w:vAlign w:val="center"/>
          </w:tcPr>
          <w:p w14:paraId="566479B1">
            <w:pPr>
              <w:numPr>
                <w:ilvl w:val="0"/>
                <w:numId w:val="7"/>
              </w:numPr>
              <w:spacing w:after="0" w:line="240" w:lineRule="auto"/>
              <w:ind w:left="420" w:leftChars="0" w:hanging="420" w:firstLineChars="0"/>
              <w:jc w:val="both"/>
            </w:pPr>
            <w:r>
              <w:rPr>
                <w:rFonts w:hint="default"/>
              </w:rPr>
              <w:t>Viral Evolution, par Vincent Racaniello (édition 7, 2022).</w:t>
            </w:r>
          </w:p>
          <w:p w14:paraId="5389B767">
            <w:pPr>
              <w:numPr>
                <w:ilvl w:val="0"/>
                <w:numId w:val="7"/>
              </w:numPr>
              <w:spacing w:after="0" w:line="240" w:lineRule="auto"/>
              <w:ind w:left="420" w:leftChars="0" w:hanging="420" w:firstLineChars="0"/>
              <w:jc w:val="both"/>
            </w:pPr>
            <w:r>
              <w:rPr>
                <w:rFonts w:hint="default"/>
              </w:rPr>
              <w:t>Viral Emergence, par David M. Knipe et Peter M. Howley (édition 9, 2021).</w:t>
            </w:r>
          </w:p>
          <w:p w14:paraId="7AD34B75">
            <w:pPr>
              <w:numPr>
                <w:ilvl w:val="0"/>
                <w:numId w:val="7"/>
              </w:numPr>
              <w:spacing w:after="0" w:line="240" w:lineRule="auto"/>
              <w:ind w:left="420" w:leftChars="0" w:hanging="420" w:firstLineChars="0"/>
              <w:jc w:val="both"/>
            </w:pPr>
            <w:r>
              <w:rPr>
                <w:rFonts w:hint="default"/>
              </w:rPr>
              <w:t>Viral Genomics, par Stephen C. Harrison (édition 2, 2022).  Viral Therapy, par Vincent Racaniello (édition 7, 2022).</w:t>
            </w:r>
          </w:p>
          <w:p w14:paraId="08E0057D">
            <w:pPr>
              <w:numPr>
                <w:ilvl w:val="0"/>
                <w:numId w:val="7"/>
              </w:numPr>
              <w:spacing w:after="0" w:line="240" w:lineRule="auto"/>
              <w:ind w:left="420" w:leftChars="0" w:hanging="420" w:firstLineChars="0"/>
              <w:jc w:val="both"/>
            </w:pPr>
            <w:r>
              <w:rPr>
                <w:rFonts w:hint="default"/>
              </w:rPr>
              <w:t>Viral Vectors, par Vincent Racaniello (édition 7, 2022).</w:t>
            </w:r>
          </w:p>
        </w:tc>
      </w:tr>
      <w:tr w14:paraId="15996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14:paraId="5E98CD1D">
            <w:pPr>
              <w:spacing w:after="0" w:line="240" w:lineRule="auto"/>
              <w:jc w:val="both"/>
            </w:pPr>
            <w:r>
              <w:t>Polycopiés</w:t>
            </w:r>
          </w:p>
        </w:tc>
        <w:tc>
          <w:tcPr>
            <w:tcW w:w="6371" w:type="dxa"/>
            <w:vAlign w:val="center"/>
          </w:tcPr>
          <w:p w14:paraId="019D1C16">
            <w:pPr>
              <w:spacing w:after="0" w:line="240" w:lineRule="auto"/>
              <w:jc w:val="both"/>
              <w:rPr>
                <w:rFonts w:hint="default"/>
              </w:rPr>
            </w:pPr>
            <w:r>
              <w:rPr>
                <w:rFonts w:hint="default"/>
              </w:rPr>
              <w:t xml:space="preserve">« </w:t>
            </w:r>
            <w:r>
              <w:rPr>
                <w:rFonts w:hint="default"/>
                <w:b/>
                <w:bCs/>
              </w:rPr>
              <w:t>Fundamental and molecular virology</w:t>
            </w:r>
            <w:r>
              <w:rPr>
                <w:rFonts w:hint="default"/>
              </w:rPr>
              <w:t xml:space="preserve"> » par le Dr Jean-Michel Perret, Université de Genève, Suisse.</w:t>
            </w:r>
          </w:p>
          <w:p w14:paraId="6A23E279">
            <w:pPr>
              <w:spacing w:after="0" w:line="240" w:lineRule="auto"/>
              <w:jc w:val="both"/>
              <w:rPr>
                <w:rFonts w:hint="default"/>
              </w:rPr>
            </w:pPr>
            <w:r>
              <w:rPr>
                <w:rFonts w:hint="default"/>
              </w:rPr>
              <w:t xml:space="preserve">« </w:t>
            </w:r>
            <w:r>
              <w:rPr>
                <w:rFonts w:hint="default"/>
                <w:b/>
                <w:bCs/>
              </w:rPr>
              <w:t>Molecular virology</w:t>
            </w:r>
            <w:r>
              <w:rPr>
                <w:rFonts w:hint="default"/>
              </w:rPr>
              <w:t xml:space="preserve"> » par le Dr Jean-Claude Chermann, Institut Pasteur, France.</w:t>
            </w:r>
          </w:p>
          <w:p w14:paraId="6671ADE0">
            <w:pPr>
              <w:spacing w:after="0" w:line="240" w:lineRule="auto"/>
              <w:jc w:val="both"/>
            </w:pPr>
            <w:r>
              <w:rPr>
                <w:rFonts w:hint="default"/>
              </w:rPr>
              <w:t xml:space="preserve">« </w:t>
            </w:r>
            <w:r>
              <w:rPr>
                <w:rFonts w:hint="default"/>
                <w:b/>
                <w:bCs/>
              </w:rPr>
              <w:t>Medical virology</w:t>
            </w:r>
            <w:r>
              <w:rPr>
                <w:rFonts w:hint="default"/>
              </w:rPr>
              <w:t xml:space="preserve"> » par le Dr Jean-François Delfraissy, INSERM, France.</w:t>
            </w:r>
          </w:p>
        </w:tc>
      </w:tr>
      <w:tr w14:paraId="2CD3C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14:paraId="3C4E5730">
            <w:pPr>
              <w:spacing w:after="0" w:line="240" w:lineRule="auto"/>
              <w:jc w:val="both"/>
            </w:pPr>
            <w:r>
              <w:t>Sites Web</w:t>
            </w:r>
          </w:p>
        </w:tc>
        <w:tc>
          <w:tcPr>
            <w:tcW w:w="6371" w:type="dxa"/>
            <w:vAlign w:val="center"/>
          </w:tcPr>
          <w:p w14:paraId="5D1C1659">
            <w:pPr>
              <w:pStyle w:val="9"/>
              <w:keepNext w:val="0"/>
              <w:keepLines w:val="0"/>
              <w:widowControl/>
              <w:numPr>
                <w:ilvl w:val="0"/>
                <w:numId w:val="7"/>
              </w:numPr>
              <w:suppressLineNumbers w:val="0"/>
              <w:spacing w:before="0" w:beforeAutospacing="0" w:line="15" w:lineRule="atLeast"/>
              <w:ind w:left="420" w:leftChars="0" w:hanging="420" w:firstLineChars="0"/>
              <w:jc w:val="both"/>
              <w:rPr>
                <w:rFonts w:hint="default" w:asciiTheme="minorHAnsi" w:hAnsiTheme="minorHAnsi" w:eastAsiaTheme="minorHAnsi" w:cstheme="minorBidi"/>
                <w:kern w:val="0"/>
                <w:sz w:val="22"/>
                <w:szCs w:val="22"/>
                <w:lang w:val="fr-FR" w:eastAsia="en-US" w:bidi="ar-SA"/>
              </w:rPr>
            </w:pPr>
            <w:r>
              <w:rPr>
                <w:rFonts w:hint="default" w:asciiTheme="minorHAnsi" w:hAnsiTheme="minorHAnsi" w:eastAsiaTheme="minorHAnsi" w:cstheme="minorBidi"/>
                <w:kern w:val="0"/>
                <w:sz w:val="22"/>
                <w:szCs w:val="22"/>
                <w:lang w:val="fr-FR" w:eastAsia="en-US" w:bidi="ar-SA"/>
              </w:rPr>
              <w:t xml:space="preserve">ASM : </w:t>
            </w:r>
            <w:r>
              <w:rPr>
                <w:rFonts w:hint="default" w:asciiTheme="minorHAnsi" w:hAnsiTheme="minorHAnsi" w:eastAsiaTheme="minorHAnsi" w:cstheme="minorBidi"/>
                <w:kern w:val="0"/>
                <w:sz w:val="22"/>
                <w:szCs w:val="22"/>
                <w:lang w:val="fr-FR" w:eastAsia="en-US" w:bidi="ar-SA"/>
              </w:rPr>
              <w:fldChar w:fldCharType="begin"/>
            </w:r>
            <w:r>
              <w:rPr>
                <w:rFonts w:hint="default" w:asciiTheme="minorHAnsi" w:hAnsiTheme="minorHAnsi" w:eastAsiaTheme="minorHAnsi" w:cstheme="minorBidi"/>
                <w:kern w:val="0"/>
                <w:sz w:val="22"/>
                <w:szCs w:val="22"/>
                <w:lang w:val="fr-FR" w:eastAsia="en-US" w:bidi="ar-SA"/>
              </w:rPr>
              <w:instrText xml:space="preserve"> HYPERLINK "https://asm.org/" \t "https://gemini.google.com/app/_blank" </w:instrText>
            </w:r>
            <w:r>
              <w:rPr>
                <w:rFonts w:hint="default" w:asciiTheme="minorHAnsi" w:hAnsiTheme="minorHAnsi" w:eastAsiaTheme="minorHAnsi" w:cstheme="minorBidi"/>
                <w:kern w:val="0"/>
                <w:sz w:val="22"/>
                <w:szCs w:val="22"/>
                <w:lang w:val="fr-FR" w:eastAsia="en-US" w:bidi="ar-SA"/>
              </w:rPr>
              <w:fldChar w:fldCharType="separate"/>
            </w:r>
            <w:r>
              <w:rPr>
                <w:rFonts w:hint="default" w:asciiTheme="minorHAnsi" w:hAnsiTheme="minorHAnsi" w:eastAsiaTheme="minorHAnsi" w:cstheme="minorBidi"/>
                <w:kern w:val="0"/>
                <w:sz w:val="22"/>
                <w:szCs w:val="22"/>
                <w:lang w:val="fr-FR" w:eastAsia="en-US" w:bidi="ar-SA"/>
              </w:rPr>
              <w:t>https://asm.org/</w:t>
            </w:r>
            <w:r>
              <w:rPr>
                <w:rFonts w:hint="default" w:asciiTheme="minorHAnsi" w:hAnsiTheme="minorHAnsi" w:eastAsiaTheme="minorHAnsi" w:cstheme="minorBidi"/>
                <w:kern w:val="0"/>
                <w:sz w:val="22"/>
                <w:szCs w:val="22"/>
                <w:lang w:val="fr-FR" w:eastAsia="en-US" w:bidi="ar-SA"/>
              </w:rPr>
              <w:fldChar w:fldCharType="end"/>
            </w:r>
          </w:p>
          <w:p w14:paraId="4747C4B3">
            <w:pPr>
              <w:pStyle w:val="9"/>
              <w:keepNext w:val="0"/>
              <w:keepLines w:val="0"/>
              <w:widowControl/>
              <w:numPr>
                <w:ilvl w:val="0"/>
                <w:numId w:val="7"/>
              </w:numPr>
              <w:suppressLineNumbers w:val="0"/>
              <w:spacing w:before="0" w:beforeAutospacing="0" w:line="15" w:lineRule="atLeast"/>
              <w:ind w:left="420" w:leftChars="0" w:hanging="420" w:firstLineChars="0"/>
              <w:jc w:val="both"/>
              <w:rPr>
                <w:rFonts w:hint="default" w:asciiTheme="minorHAnsi" w:hAnsiTheme="minorHAnsi" w:eastAsiaTheme="minorHAnsi" w:cstheme="minorBidi"/>
                <w:kern w:val="0"/>
                <w:sz w:val="22"/>
                <w:szCs w:val="22"/>
                <w:lang w:val="fr-FR" w:eastAsia="en-US" w:bidi="ar-SA"/>
              </w:rPr>
            </w:pPr>
            <w:r>
              <w:rPr>
                <w:rFonts w:hint="default" w:asciiTheme="minorHAnsi" w:hAnsiTheme="minorHAnsi" w:eastAsiaTheme="minorHAnsi" w:cstheme="minorBidi"/>
                <w:kern w:val="0"/>
                <w:sz w:val="22"/>
                <w:szCs w:val="22"/>
                <w:lang w:val="fr-FR" w:eastAsia="en-US" w:bidi="ar-SA"/>
              </w:rPr>
              <w:t xml:space="preserve">European Society for Virology (ESV) : </w:t>
            </w:r>
            <w:r>
              <w:rPr>
                <w:rFonts w:hint="default" w:asciiTheme="minorHAnsi" w:hAnsiTheme="minorHAnsi" w:eastAsiaTheme="minorHAnsi" w:cstheme="minorBidi"/>
                <w:kern w:val="0"/>
                <w:sz w:val="22"/>
                <w:szCs w:val="22"/>
                <w:lang w:val="fr-FR" w:eastAsia="en-US" w:bidi="ar-SA"/>
              </w:rPr>
              <w:fldChar w:fldCharType="begin"/>
            </w:r>
            <w:r>
              <w:rPr>
                <w:rFonts w:hint="default" w:asciiTheme="minorHAnsi" w:hAnsiTheme="minorHAnsi" w:eastAsiaTheme="minorHAnsi" w:cstheme="minorBidi"/>
                <w:kern w:val="0"/>
                <w:sz w:val="22"/>
                <w:szCs w:val="22"/>
                <w:lang w:val="fr-FR" w:eastAsia="en-US" w:bidi="ar-SA"/>
              </w:rPr>
              <w:instrText xml:space="preserve"> HYPERLINK "http://www.eusv.eu/" \t "https://gemini.google.com/app/_blank" </w:instrText>
            </w:r>
            <w:r>
              <w:rPr>
                <w:rFonts w:hint="default" w:asciiTheme="minorHAnsi" w:hAnsiTheme="minorHAnsi" w:eastAsiaTheme="minorHAnsi" w:cstheme="minorBidi"/>
                <w:kern w:val="0"/>
                <w:sz w:val="22"/>
                <w:szCs w:val="22"/>
                <w:lang w:val="fr-FR" w:eastAsia="en-US" w:bidi="ar-SA"/>
              </w:rPr>
              <w:fldChar w:fldCharType="separate"/>
            </w:r>
            <w:r>
              <w:rPr>
                <w:rFonts w:hint="default" w:asciiTheme="minorHAnsi" w:hAnsiTheme="minorHAnsi" w:eastAsiaTheme="minorHAnsi" w:cstheme="minorBidi"/>
                <w:kern w:val="0"/>
                <w:sz w:val="22"/>
                <w:szCs w:val="22"/>
                <w:lang w:val="fr-FR" w:eastAsia="en-US" w:bidi="ar-SA"/>
              </w:rPr>
              <w:t>http://www.eusv.eu/</w:t>
            </w:r>
            <w:r>
              <w:rPr>
                <w:rFonts w:hint="default" w:asciiTheme="minorHAnsi" w:hAnsiTheme="minorHAnsi" w:eastAsiaTheme="minorHAnsi" w:cstheme="minorBidi"/>
                <w:kern w:val="0"/>
                <w:sz w:val="22"/>
                <w:szCs w:val="22"/>
                <w:lang w:val="fr-FR" w:eastAsia="en-US" w:bidi="ar-SA"/>
              </w:rPr>
              <w:fldChar w:fldCharType="end"/>
            </w:r>
          </w:p>
          <w:p w14:paraId="52E973C9">
            <w:pPr>
              <w:pStyle w:val="9"/>
              <w:keepNext w:val="0"/>
              <w:keepLines w:val="0"/>
              <w:widowControl/>
              <w:numPr>
                <w:ilvl w:val="0"/>
                <w:numId w:val="7"/>
              </w:numPr>
              <w:suppressLineNumbers w:val="0"/>
              <w:spacing w:before="0" w:beforeAutospacing="0" w:line="15" w:lineRule="atLeast"/>
              <w:ind w:left="420" w:leftChars="0" w:hanging="420" w:firstLineChars="0"/>
              <w:jc w:val="both"/>
              <w:rPr>
                <w:rFonts w:hint="default" w:asciiTheme="minorHAnsi" w:hAnsiTheme="minorHAnsi" w:eastAsiaTheme="minorHAnsi" w:cstheme="minorBidi"/>
                <w:kern w:val="0"/>
                <w:sz w:val="22"/>
                <w:szCs w:val="22"/>
                <w:lang w:val="fr-FR" w:eastAsia="en-US" w:bidi="ar-SA"/>
              </w:rPr>
            </w:pPr>
            <w:r>
              <w:rPr>
                <w:rFonts w:hint="default" w:asciiTheme="minorHAnsi" w:hAnsiTheme="minorHAnsi" w:eastAsiaTheme="minorHAnsi" w:cstheme="minorBidi"/>
                <w:kern w:val="0"/>
                <w:sz w:val="22"/>
                <w:szCs w:val="22"/>
                <w:lang w:val="fr-FR" w:eastAsia="en-US" w:bidi="ar-SA"/>
              </w:rPr>
              <w:t xml:space="preserve">National Institutes of Health (NIH) : </w:t>
            </w:r>
            <w:r>
              <w:rPr>
                <w:rFonts w:hint="default" w:asciiTheme="minorHAnsi" w:hAnsiTheme="minorHAnsi" w:eastAsiaTheme="minorHAnsi" w:cstheme="minorBidi"/>
                <w:kern w:val="0"/>
                <w:sz w:val="22"/>
                <w:szCs w:val="22"/>
                <w:lang w:val="fr-FR" w:eastAsia="en-US" w:bidi="ar-SA"/>
              </w:rPr>
              <w:fldChar w:fldCharType="begin"/>
            </w:r>
            <w:r>
              <w:rPr>
                <w:rFonts w:hint="default" w:asciiTheme="minorHAnsi" w:hAnsiTheme="minorHAnsi" w:eastAsiaTheme="minorHAnsi" w:cstheme="minorBidi"/>
                <w:kern w:val="0"/>
                <w:sz w:val="22"/>
                <w:szCs w:val="22"/>
                <w:lang w:val="fr-FR" w:eastAsia="en-US" w:bidi="ar-SA"/>
              </w:rPr>
              <w:instrText xml:space="preserve"> HYPERLINK "https://www.nih.gov/" \t "https://gemini.google.com/app/_blank" </w:instrText>
            </w:r>
            <w:r>
              <w:rPr>
                <w:rFonts w:hint="default" w:asciiTheme="minorHAnsi" w:hAnsiTheme="minorHAnsi" w:eastAsiaTheme="minorHAnsi" w:cstheme="minorBidi"/>
                <w:kern w:val="0"/>
                <w:sz w:val="22"/>
                <w:szCs w:val="22"/>
                <w:lang w:val="fr-FR" w:eastAsia="en-US" w:bidi="ar-SA"/>
              </w:rPr>
              <w:fldChar w:fldCharType="separate"/>
            </w:r>
            <w:r>
              <w:rPr>
                <w:rFonts w:hint="default" w:asciiTheme="minorHAnsi" w:hAnsiTheme="minorHAnsi" w:eastAsiaTheme="minorHAnsi" w:cstheme="minorBidi"/>
                <w:kern w:val="0"/>
                <w:sz w:val="22"/>
                <w:szCs w:val="22"/>
                <w:lang w:val="fr-FR" w:eastAsia="en-US" w:bidi="ar-SA"/>
              </w:rPr>
              <w:t>https://www.nih.gov/</w:t>
            </w:r>
            <w:r>
              <w:rPr>
                <w:rFonts w:hint="default" w:asciiTheme="minorHAnsi" w:hAnsiTheme="minorHAnsi" w:eastAsiaTheme="minorHAnsi" w:cstheme="minorBidi"/>
                <w:kern w:val="0"/>
                <w:sz w:val="22"/>
                <w:szCs w:val="22"/>
                <w:lang w:val="fr-FR" w:eastAsia="en-US" w:bidi="ar-SA"/>
              </w:rPr>
              <w:fldChar w:fldCharType="end"/>
            </w:r>
          </w:p>
          <w:p w14:paraId="721143AF">
            <w:pPr>
              <w:pStyle w:val="9"/>
              <w:keepNext w:val="0"/>
              <w:keepLines w:val="0"/>
              <w:widowControl/>
              <w:numPr>
                <w:ilvl w:val="0"/>
                <w:numId w:val="7"/>
              </w:numPr>
              <w:suppressLineNumbers w:val="0"/>
              <w:spacing w:before="0" w:beforeAutospacing="0" w:line="15" w:lineRule="atLeast"/>
              <w:ind w:left="420" w:leftChars="0" w:hanging="420" w:firstLineChars="0"/>
              <w:jc w:val="both"/>
            </w:pPr>
            <w:r>
              <w:rPr>
                <w:rFonts w:hint="default" w:asciiTheme="minorHAnsi" w:hAnsiTheme="minorHAnsi" w:eastAsiaTheme="minorHAnsi" w:cstheme="minorBidi"/>
                <w:kern w:val="0"/>
                <w:sz w:val="22"/>
                <w:szCs w:val="22"/>
                <w:lang w:val="fr-FR" w:eastAsia="en-US" w:bidi="ar-SA"/>
              </w:rPr>
              <w:t xml:space="preserve">ViralZone : </w:t>
            </w:r>
            <w:r>
              <w:rPr>
                <w:rFonts w:hint="default" w:asciiTheme="minorHAnsi" w:hAnsiTheme="minorHAnsi" w:eastAsiaTheme="minorHAnsi" w:cstheme="minorBidi"/>
                <w:kern w:val="0"/>
                <w:sz w:val="22"/>
                <w:szCs w:val="22"/>
                <w:lang w:val="fr-FR" w:eastAsia="en-US" w:bidi="ar-SA"/>
              </w:rPr>
              <w:fldChar w:fldCharType="begin"/>
            </w:r>
            <w:r>
              <w:rPr>
                <w:rFonts w:hint="default" w:asciiTheme="minorHAnsi" w:hAnsiTheme="minorHAnsi" w:eastAsiaTheme="minorHAnsi" w:cstheme="minorBidi"/>
                <w:kern w:val="0"/>
                <w:sz w:val="22"/>
                <w:szCs w:val="22"/>
                <w:lang w:val="fr-FR" w:eastAsia="en-US" w:bidi="ar-SA"/>
              </w:rPr>
              <w:instrText xml:space="preserve"> HYPERLINK "https://viralzone.expasy.org/" \t "https://gemini.google.com/app/_blank" </w:instrText>
            </w:r>
            <w:r>
              <w:rPr>
                <w:rFonts w:hint="default" w:asciiTheme="minorHAnsi" w:hAnsiTheme="minorHAnsi" w:eastAsiaTheme="minorHAnsi" w:cstheme="minorBidi"/>
                <w:kern w:val="0"/>
                <w:sz w:val="22"/>
                <w:szCs w:val="22"/>
                <w:lang w:val="fr-FR" w:eastAsia="en-US" w:bidi="ar-SA"/>
              </w:rPr>
              <w:fldChar w:fldCharType="separate"/>
            </w:r>
            <w:r>
              <w:rPr>
                <w:rFonts w:hint="default" w:asciiTheme="minorHAnsi" w:hAnsiTheme="minorHAnsi" w:eastAsiaTheme="minorHAnsi" w:cstheme="minorBidi"/>
                <w:kern w:val="0"/>
                <w:sz w:val="22"/>
                <w:szCs w:val="22"/>
                <w:lang w:val="fr-FR" w:eastAsia="en-US" w:bidi="ar-SA"/>
              </w:rPr>
              <w:t>https://viralzone.expasy.org/</w:t>
            </w:r>
            <w:r>
              <w:rPr>
                <w:rFonts w:hint="default" w:asciiTheme="minorHAnsi" w:hAnsiTheme="minorHAnsi" w:eastAsiaTheme="minorHAnsi" w:cstheme="minorBidi"/>
                <w:kern w:val="0"/>
                <w:sz w:val="22"/>
                <w:szCs w:val="22"/>
                <w:lang w:val="fr-FR" w:eastAsia="en-US" w:bidi="ar-SA"/>
              </w:rPr>
              <w:fldChar w:fldCharType="end"/>
            </w:r>
          </w:p>
        </w:tc>
      </w:tr>
    </w:tbl>
    <w:p w14:paraId="1F7D1819"/>
    <w:p w14:paraId="30A9AC3F">
      <w:r>
        <w:rPr>
          <w:b/>
          <w:bCs/>
          <w:u w:val="single"/>
          <w:lang w:eastAsia="fr-FR"/>
        </w:rPr>
        <mc:AlternateContent>
          <mc:Choice Requires="wps">
            <w:drawing>
              <wp:anchor distT="0" distB="0" distL="114300" distR="114300" simplePos="0" relativeHeight="251659264" behindDoc="0" locked="0" layoutInCell="1" allowOverlap="1">
                <wp:simplePos x="0" y="0"/>
                <wp:positionH relativeFrom="column">
                  <wp:posOffset>1595120</wp:posOffset>
                </wp:positionH>
                <wp:positionV relativeFrom="paragraph">
                  <wp:posOffset>326390</wp:posOffset>
                </wp:positionV>
                <wp:extent cx="2857500" cy="1895475"/>
                <wp:effectExtent l="4445" t="5080" r="14605" b="4445"/>
                <wp:wrapNone/>
                <wp:docPr id="1" name="Zone de texte 3"/>
                <wp:cNvGraphicFramePr/>
                <a:graphic xmlns:a="http://schemas.openxmlformats.org/drawingml/2006/main">
                  <a:graphicData uri="http://schemas.microsoft.com/office/word/2010/wordprocessingShape">
                    <wps:wsp>
                      <wps:cNvSpPr txBox="1"/>
                      <wps:spPr>
                        <a:xfrm>
                          <a:off x="0" y="0"/>
                          <a:ext cx="2857500" cy="1895475"/>
                        </a:xfrm>
                        <a:prstGeom prst="rect">
                          <a:avLst/>
                        </a:prstGeom>
                        <a:solidFill>
                          <a:srgbClr val="FFFFFF"/>
                        </a:solidFill>
                        <a:ln w="6350" cap="flat" cmpd="sng">
                          <a:solidFill>
                            <a:srgbClr val="000000"/>
                          </a:solidFill>
                          <a:prstDash val="solid"/>
                          <a:miter/>
                          <a:headEnd type="none" w="med" len="med"/>
                          <a:tailEnd type="none" w="med" len="med"/>
                        </a:ln>
                      </wps:spPr>
                      <wps:txbx>
                        <w:txbxContent>
                          <w:p w14:paraId="03F3AFBC">
                            <w:pPr>
                              <w:jc w:val="center"/>
                              <w:rPr>
                                <w:b/>
                                <w:bCs/>
                                <w:u w:val="single"/>
                              </w:rPr>
                            </w:pPr>
                            <w:r>
                              <w:rPr>
                                <w:b/>
                                <w:bCs/>
                                <w:u w:val="single"/>
                              </w:rPr>
                              <w:t>Cachet humide du département</w:t>
                            </w:r>
                          </w:p>
                        </w:txbxContent>
                      </wps:txbx>
                      <wps:bodyPr upright="1"/>
                    </wps:wsp>
                  </a:graphicData>
                </a:graphic>
              </wp:anchor>
            </w:drawing>
          </mc:Choice>
          <mc:Fallback>
            <w:pict>
              <v:shape id="Zone de texte 3" o:spid="_x0000_s1026" o:spt="202" type="#_x0000_t202" style="position:absolute;left:0pt;margin-left:125.6pt;margin-top:25.7pt;height:149.25pt;width:225pt;z-index:251659264;mso-width-relative:page;mso-height-relative:page;" fillcolor="#FFFFFF" filled="t" stroked="t" coordsize="21600,21600" o:gfxdata="UEsDBAoAAAAAAIdO4kAAAAAAAAAAAAAAAAAEAAAAZHJzL1BLAwQUAAAACACHTuJAVzI8rdcAAAAK&#10;AQAADwAAAGRycy9kb3ducmV2LnhtbE2PwU7DMAyG70i8Q2Qkbixpuw1W6k4CCQlxY+uFW9Z4bUXi&#10;VE22jrcnO8HR9qff319tL86KM01h8IyQLRQI4tabgTuEZv/28AQiRM1GW8+E8EMBtvXtTaVL42f+&#10;pPMudiKFcCg1Qh/jWEoZ2p6cDgs/Eqfb0U9OxzROnTSTnlO4szJXai2dHjh96PVIrz2137uTQ3hf&#10;v8QvasyHKfLCz41sp6MNiPd3mXoGEekS/2C46id1qJPTwZ/YBGER8lWWJxRhlS1BJOBRXRcHhGK5&#10;2YCsK/m/Qv0LUEsDBBQAAAAIAIdO4kCnihww/wEAADsEAAAOAAAAZHJzL2Uyb0RvYy54bWytU02P&#10;0zAQvSPxHyzfadIu2S1R05WglAsCpIULN9eeJJb8Jdtt0n/P2Ml2P+DQAzk4Y8/zm5k34839qBU5&#10;gQ/SmoYuFyUlYLgV0nQN/fVz/25NSYjMCKasgYaeIdD77ds3m8HVsLK9VQI8QRIT6sE1tI/R1UUR&#10;eA+ahYV1YNDZWq9ZxK3vCuHZgOxaFauyvC0G64XzlkMIeLqbnHRm9NcQ2raVHHaWHzWYOLF6UCxi&#10;SaGXLtBtzrZtgcfvbRsgEtVQrDTmFYOgfUhrsd2wuvPM9ZLPKbBrUnhVk2bSYNAL1Y5FRo5e/kWl&#10;Jfc22DYuuNXFVEhWBKtYlq+0eeiZg1wLSh3cRfTw/2j5t9MPT6TASaDEMI0N/41tJwJIhDECuUkS&#10;DS7UiHxwiI3jRzsm+Hwe8DBVPrZepz/WRNCPAp8vAiMT4Xi4Wld3VYkujr7l+kP1/q5KPMXTdedD&#10;/AJWk2Q01GMHs7Ds9DXECfoISdGCVVLspVJ547vDJ+XJiWG39/mb2V/AlCFDQ29vqpQIwxFucXTQ&#10;1A5lCKbL8V7cCM+Jy/z9izgltmOhnxLIDAnGai0j+Gz1wMRnI0g8O5TaoNQ0JaNBUKIAH2SyMjIy&#10;qa5BonbKoISpR1MvkhXHw4g0yTxYcca+HZ2XXY+S5s5lOM5U1n6e/zS0z/eZ9OnNb/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VzI8rdcAAAAKAQAADwAAAAAAAAABACAAAAAiAAAAZHJzL2Rvd25y&#10;ZXYueG1sUEsBAhQAFAAAAAgAh07iQKeKHDD/AQAAOwQAAA4AAAAAAAAAAQAgAAAAJgEAAGRycy9l&#10;Mm9Eb2MueG1sUEsFBgAAAAAGAAYAWQEAAJcFAAAAAA==&#10;">
                <v:fill on="t" focussize="0,0"/>
                <v:stroke weight="0.5pt" color="#000000" joinstyle="miter"/>
                <v:imagedata o:title=""/>
                <o:lock v:ext="edit" aspectratio="f"/>
                <v:textbox>
                  <w:txbxContent>
                    <w:p w14:paraId="03F3AFBC">
                      <w:pPr>
                        <w:jc w:val="center"/>
                        <w:rPr>
                          <w:b/>
                          <w:bCs/>
                          <w:u w:val="single"/>
                        </w:rPr>
                      </w:pPr>
                      <w:r>
                        <w:rPr>
                          <w:b/>
                          <w:bCs/>
                          <w:u w:val="single"/>
                        </w:rPr>
                        <w:t>Cachet humide du département</w:t>
                      </w:r>
                    </w:p>
                  </w:txbxContent>
                </v:textbox>
              </v:shape>
            </w:pict>
          </mc:Fallback>
        </mc:AlternateContent>
      </w:r>
    </w:p>
    <w:sectPr>
      <w:pgSz w:w="11906" w:h="16838"/>
      <w:pgMar w:top="851" w:right="1418" w:bottom="851"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6A9597"/>
    <w:multiLevelType w:val="singleLevel"/>
    <w:tmpl w:val="EF6A9597"/>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0050F49B"/>
    <w:multiLevelType w:val="singleLevel"/>
    <w:tmpl w:val="0050F49B"/>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1A71247C"/>
    <w:multiLevelType w:val="multilevel"/>
    <w:tmpl w:val="1A71247C"/>
    <w:lvl w:ilvl="0" w:tentative="0">
      <w:start w:val="1"/>
      <w:numFmt w:val="decimal"/>
      <w:lvlText w:val="%1."/>
      <w:lvlJc w:val="left"/>
      <w:pPr>
        <w:tabs>
          <w:tab w:val="left" w:pos="720"/>
        </w:tabs>
        <w:ind w:left="720" w:hanging="720"/>
      </w:pPr>
    </w:lvl>
    <w:lvl w:ilvl="1" w:tentative="0">
      <w:start w:val="1"/>
      <w:numFmt w:val="decimal"/>
      <w:pStyle w:val="3"/>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21493204"/>
    <w:multiLevelType w:val="multilevel"/>
    <w:tmpl w:val="21493204"/>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7AB240D"/>
    <w:multiLevelType w:val="singleLevel"/>
    <w:tmpl w:val="57AB240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5D7D5BC6"/>
    <w:multiLevelType w:val="multilevel"/>
    <w:tmpl w:val="5D7D5BC6"/>
    <w:lvl w:ilvl="0" w:tentative="0">
      <w:start w:val="1"/>
      <w:numFmt w:val="decimal"/>
      <w:pStyle w:val="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6">
    <w:nsid w:val="67EB00B0"/>
    <w:multiLevelType w:val="multilevel"/>
    <w:tmpl w:val="67EB00B0"/>
    <w:lvl w:ilvl="0" w:tentative="0">
      <w:start w:val="1"/>
      <w:numFmt w:val="decimal"/>
      <w:lvlText w:val="%1"/>
      <w:lvlJc w:val="left"/>
      <w:pPr>
        <w:ind w:left="432" w:hanging="432"/>
      </w:pPr>
      <w:rPr>
        <w:rFonts w:hint="default"/>
      </w:rPr>
    </w:lvl>
    <w:lvl w:ilvl="1" w:tentative="0">
      <w:start w:val="1"/>
      <w:numFmt w:val="decimal"/>
      <w:lvlText w:val="%1.%2"/>
      <w:lvlJc w:val="left"/>
      <w:pPr>
        <w:ind w:left="576" w:hanging="576"/>
      </w:pPr>
    </w:lvl>
    <w:lvl w:ilvl="2" w:tentative="0">
      <w:start w:val="1"/>
      <w:numFmt w:val="decimal"/>
      <w:pStyle w:val="4"/>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5"/>
  </w:num>
  <w:num w:numId="2">
    <w:abstractNumId w:val="2"/>
  </w:num>
  <w:num w:numId="3">
    <w:abstractNumId w:val="6"/>
  </w:num>
  <w:num w:numId="4">
    <w:abstractNumId w:val="1"/>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dit="forms"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78B"/>
    <w:rsid w:val="000A2139"/>
    <w:rsid w:val="000C19B5"/>
    <w:rsid w:val="001143B7"/>
    <w:rsid w:val="00121DA8"/>
    <w:rsid w:val="001A338C"/>
    <w:rsid w:val="001B6C15"/>
    <w:rsid w:val="001C29AF"/>
    <w:rsid w:val="001D1D3B"/>
    <w:rsid w:val="001E12E7"/>
    <w:rsid w:val="001F298C"/>
    <w:rsid w:val="001F340A"/>
    <w:rsid w:val="00236309"/>
    <w:rsid w:val="00277B9C"/>
    <w:rsid w:val="002A2A2A"/>
    <w:rsid w:val="002B378B"/>
    <w:rsid w:val="002D07C3"/>
    <w:rsid w:val="00323CE6"/>
    <w:rsid w:val="00333F0C"/>
    <w:rsid w:val="003415E3"/>
    <w:rsid w:val="003E5702"/>
    <w:rsid w:val="003F1728"/>
    <w:rsid w:val="00406172"/>
    <w:rsid w:val="0042399D"/>
    <w:rsid w:val="00457208"/>
    <w:rsid w:val="004A3421"/>
    <w:rsid w:val="004A6397"/>
    <w:rsid w:val="004D05ED"/>
    <w:rsid w:val="00595FC4"/>
    <w:rsid w:val="005F6BBF"/>
    <w:rsid w:val="00606FA1"/>
    <w:rsid w:val="0061109B"/>
    <w:rsid w:val="00653D1C"/>
    <w:rsid w:val="00662DE5"/>
    <w:rsid w:val="00673AFF"/>
    <w:rsid w:val="006873D3"/>
    <w:rsid w:val="006B258A"/>
    <w:rsid w:val="006D0532"/>
    <w:rsid w:val="006E4368"/>
    <w:rsid w:val="00733787"/>
    <w:rsid w:val="00765534"/>
    <w:rsid w:val="00770375"/>
    <w:rsid w:val="00794841"/>
    <w:rsid w:val="007A62DA"/>
    <w:rsid w:val="007C31EF"/>
    <w:rsid w:val="007E39E8"/>
    <w:rsid w:val="007F07BD"/>
    <w:rsid w:val="007F3496"/>
    <w:rsid w:val="008631EA"/>
    <w:rsid w:val="00897F09"/>
    <w:rsid w:val="008A5F23"/>
    <w:rsid w:val="008C6A18"/>
    <w:rsid w:val="008C6E60"/>
    <w:rsid w:val="008E09AF"/>
    <w:rsid w:val="008E3982"/>
    <w:rsid w:val="00950DB8"/>
    <w:rsid w:val="00964296"/>
    <w:rsid w:val="009A4FF8"/>
    <w:rsid w:val="009B73C9"/>
    <w:rsid w:val="009E136F"/>
    <w:rsid w:val="00A0598F"/>
    <w:rsid w:val="00A274BD"/>
    <w:rsid w:val="00A54588"/>
    <w:rsid w:val="00A55690"/>
    <w:rsid w:val="00A56080"/>
    <w:rsid w:val="00AB6A9F"/>
    <w:rsid w:val="00AC718F"/>
    <w:rsid w:val="00AD5FD9"/>
    <w:rsid w:val="00B109A7"/>
    <w:rsid w:val="00BD008E"/>
    <w:rsid w:val="00BD3330"/>
    <w:rsid w:val="00BE6AF2"/>
    <w:rsid w:val="00BE7223"/>
    <w:rsid w:val="00BF1D48"/>
    <w:rsid w:val="00C85F25"/>
    <w:rsid w:val="00CD0552"/>
    <w:rsid w:val="00CF6046"/>
    <w:rsid w:val="00D144DB"/>
    <w:rsid w:val="00D14FFF"/>
    <w:rsid w:val="00D4787E"/>
    <w:rsid w:val="00D75F05"/>
    <w:rsid w:val="00DB1B06"/>
    <w:rsid w:val="00E04AFD"/>
    <w:rsid w:val="00E30CE9"/>
    <w:rsid w:val="00EB5CDD"/>
    <w:rsid w:val="00EF486D"/>
    <w:rsid w:val="00F30DB8"/>
    <w:rsid w:val="00F70E1D"/>
    <w:rsid w:val="00F90627"/>
    <w:rsid w:val="00FC3BB6"/>
    <w:rsid w:val="5F452159"/>
    <w:rsid w:val="77575B04"/>
  </w:rsids>
  <m:mathPr>
    <m:mathFont m:val="Cambria Math"/>
    <m:brkBin m:val="before"/>
    <m:brkBinSub m:val="--"/>
    <m:smallFrac m:val="1"/>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fr-FR" w:eastAsia="en-US" w:bidi="ar-SA"/>
    </w:rPr>
  </w:style>
  <w:style w:type="paragraph" w:styleId="2">
    <w:name w:val="heading 1"/>
    <w:basedOn w:val="1"/>
    <w:next w:val="1"/>
    <w:link w:val="11"/>
    <w:qFormat/>
    <w:uiPriority w:val="9"/>
    <w:pPr>
      <w:keepNext/>
      <w:keepLines/>
      <w:numPr>
        <w:ilvl w:val="0"/>
        <w:numId w:val="1"/>
      </w:numPr>
      <w:spacing w:before="120" w:after="120"/>
      <w:outlineLvl w:val="0"/>
    </w:pPr>
    <w:rPr>
      <w:rFonts w:asciiTheme="majorHAnsi" w:hAnsiTheme="majorHAnsi" w:eastAsiaTheme="majorEastAsia" w:cstheme="majorBidi"/>
      <w:b/>
      <w:bCs/>
      <w:color w:val="00B0F0"/>
      <w:sz w:val="32"/>
      <w:szCs w:val="32"/>
    </w:rPr>
  </w:style>
  <w:style w:type="paragraph" w:styleId="3">
    <w:name w:val="heading 2"/>
    <w:basedOn w:val="1"/>
    <w:next w:val="1"/>
    <w:link w:val="12"/>
    <w:autoRedefine/>
    <w:unhideWhenUsed/>
    <w:qFormat/>
    <w:uiPriority w:val="9"/>
    <w:pPr>
      <w:numPr>
        <w:ilvl w:val="1"/>
        <w:numId w:val="2"/>
      </w:numPr>
      <w:spacing w:before="160" w:after="120"/>
      <w:ind w:left="792" w:hanging="432"/>
      <w:outlineLvl w:val="1"/>
    </w:pPr>
    <w:rPr>
      <w:rFonts w:asciiTheme="majorHAnsi" w:hAnsiTheme="majorHAnsi" w:eastAsiaTheme="majorEastAsia" w:cstheme="majorBidi"/>
      <w:b/>
      <w:bCs/>
      <w:i/>
      <w:iCs/>
      <w:color w:val="00B0F0"/>
      <w:sz w:val="26"/>
      <w:szCs w:val="26"/>
    </w:rPr>
  </w:style>
  <w:style w:type="paragraph" w:styleId="4">
    <w:name w:val="heading 3"/>
    <w:basedOn w:val="1"/>
    <w:next w:val="1"/>
    <w:link w:val="13"/>
    <w:unhideWhenUsed/>
    <w:qFormat/>
    <w:uiPriority w:val="9"/>
    <w:pPr>
      <w:keepNext/>
      <w:keepLines/>
      <w:numPr>
        <w:ilvl w:val="2"/>
        <w:numId w:val="3"/>
      </w:numPr>
      <w:spacing w:before="40" w:after="0"/>
      <w:outlineLvl w:val="2"/>
    </w:pPr>
    <w:rPr>
      <w:rFonts w:asciiTheme="majorHAnsi" w:hAnsiTheme="majorHAnsi" w:eastAsiaTheme="majorEastAsia" w:cstheme="majorBidi"/>
      <w:color w:val="1F4E79" w:themeColor="accent1" w:themeShade="80"/>
      <w:sz w:val="24"/>
      <w:szCs w:val="24"/>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16"/>
    <w:semiHidden/>
    <w:unhideWhenUsed/>
    <w:qFormat/>
    <w:uiPriority w:val="99"/>
    <w:pPr>
      <w:spacing w:after="0" w:line="240" w:lineRule="auto"/>
    </w:pPr>
    <w:rPr>
      <w:rFonts w:ascii="Tahoma" w:hAnsi="Tahoma" w:cs="Tahoma"/>
      <w:sz w:val="16"/>
      <w:szCs w:val="16"/>
    </w:rPr>
  </w:style>
  <w:style w:type="character" w:styleId="8">
    <w:name w:val="Hyperlink"/>
    <w:basedOn w:val="5"/>
    <w:unhideWhenUsed/>
    <w:uiPriority w:val="99"/>
    <w:rPr>
      <w:color w:val="0563C1" w:themeColor="hyperlink"/>
      <w:u w:val="single"/>
      <w14:textFill>
        <w14:solidFill>
          <w14:schemeClr w14:val="hlink"/>
        </w14:solidFill>
      </w14:textFill>
    </w:rPr>
  </w:style>
  <w:style w:type="paragraph" w:styleId="9">
    <w:name w:val="Normal (Web)"/>
    <w:semiHidden/>
    <w:unhideWhenUsed/>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table" w:styleId="10">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Titre 1 Car"/>
    <w:basedOn w:val="5"/>
    <w:link w:val="2"/>
    <w:qFormat/>
    <w:uiPriority w:val="9"/>
    <w:rPr>
      <w:rFonts w:asciiTheme="majorHAnsi" w:hAnsiTheme="majorHAnsi" w:eastAsiaTheme="majorEastAsia" w:cstheme="majorBidi"/>
      <w:b/>
      <w:bCs/>
      <w:color w:val="00B0F0"/>
      <w:sz w:val="32"/>
      <w:szCs w:val="32"/>
    </w:rPr>
  </w:style>
  <w:style w:type="character" w:customStyle="1" w:styleId="12">
    <w:name w:val="Titre 2 Car"/>
    <w:basedOn w:val="5"/>
    <w:link w:val="3"/>
    <w:qFormat/>
    <w:uiPriority w:val="9"/>
    <w:rPr>
      <w:rFonts w:asciiTheme="majorHAnsi" w:hAnsiTheme="majorHAnsi" w:eastAsiaTheme="majorEastAsia" w:cstheme="majorBidi"/>
      <w:b/>
      <w:bCs/>
      <w:i/>
      <w:iCs/>
      <w:color w:val="00B0F0"/>
      <w:sz w:val="26"/>
      <w:szCs w:val="26"/>
    </w:rPr>
  </w:style>
  <w:style w:type="character" w:customStyle="1" w:styleId="13">
    <w:name w:val="Titre 3 Car"/>
    <w:basedOn w:val="5"/>
    <w:link w:val="4"/>
    <w:qFormat/>
    <w:uiPriority w:val="9"/>
    <w:rPr>
      <w:rFonts w:asciiTheme="majorHAnsi" w:hAnsiTheme="majorHAnsi" w:eastAsiaTheme="majorEastAsia" w:cstheme="majorBidi"/>
      <w:color w:val="1F4E79" w:themeColor="accent1" w:themeShade="80"/>
      <w:sz w:val="24"/>
      <w:szCs w:val="24"/>
    </w:rPr>
  </w:style>
  <w:style w:type="paragraph" w:styleId="14">
    <w:name w:val="List Paragraph"/>
    <w:basedOn w:val="1"/>
    <w:qFormat/>
    <w:uiPriority w:val="34"/>
    <w:pPr>
      <w:ind w:left="720"/>
      <w:contextualSpacing/>
    </w:pPr>
  </w:style>
  <w:style w:type="character" w:styleId="15">
    <w:name w:val="Placeholder Text"/>
    <w:basedOn w:val="5"/>
    <w:semiHidden/>
    <w:qFormat/>
    <w:uiPriority w:val="99"/>
    <w:rPr>
      <w:color w:val="808080"/>
    </w:rPr>
  </w:style>
  <w:style w:type="character" w:customStyle="1" w:styleId="16">
    <w:name w:val="Texte de bulles Car"/>
    <w:basedOn w:val="5"/>
    <w:link w:val="7"/>
    <w:semiHidden/>
    <w:uiPriority w:val="99"/>
    <w:rPr>
      <w:rFonts w:ascii="Tahoma" w:hAnsi="Tahoma" w:cs="Tahoma"/>
      <w:sz w:val="16"/>
      <w:szCs w:val="16"/>
    </w:rPr>
  </w:style>
  <w:style w:type="character" w:customStyle="1" w:styleId="17">
    <w:name w:val="rynqvb"/>
    <w:basedOn w:val="5"/>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lkacem\Desktop\SYLLABUS.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SYLLABUS</Template>
  <Pages>5</Pages>
  <Words>911</Words>
  <Characters>5519</Characters>
  <Lines>38</Lines>
  <Paragraphs>10</Paragraphs>
  <TotalTime>30</TotalTime>
  <ScaleCrop>false</ScaleCrop>
  <LinksUpToDate>false</LinksUpToDate>
  <CharactersWithSpaces>6244</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2023-01-23T11:05:00Z</dcterms:created>
  <dc:creator>Khelif Rabie</dc:creator>
  <cp:lastModifiedBy>Halim Khenchouche</cp:lastModifiedBy>
  <cp:lastPrinted>2023-01-23T10:57:00Z</cp:lastPrinted>
  <dcterms:modified xsi:type="dcterms:W3CDTF">2026-07-13T18:45:31Z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eyJoZGlkIjoiNmY2OTUwNTAwZTVhNTU5MDkzMjAxOGQ4Yjk4YTEzMTQiLCJ1c2VySWQiOiIzNzI4NDI1MDg0NzIwIn0=</vt:lpwstr>
  </property>
  <property fmtid="{D5CDD505-2E9C-101B-9397-08002B2CF9AE}" pid="3" name="KSOProductBuildVer">
    <vt:lpwstr>1033-12.1.0.26880</vt:lpwstr>
  </property>
  <property fmtid="{D5CDD505-2E9C-101B-9397-08002B2CF9AE}" pid="4" name="ICV">
    <vt:lpwstr>E5AEA2FD9FF24C7D90B56773C902FBD8_13</vt:lpwstr>
  </property>
</Properties>
</file>